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BA0" w:rsidRDefault="00577BA0" w:rsidP="00577BA0">
      <w:pPr>
        <w:autoSpaceDE w:val="0"/>
        <w:autoSpaceDN w:val="0"/>
        <w:adjustRightInd w:val="0"/>
        <w:spacing w:after="0" w:line="240" w:lineRule="auto"/>
        <w:rPr>
          <w:rFonts w:ascii="Dekar" w:hAnsi="Dekar" w:cs="Dekar"/>
          <w:color w:val="CDCDCD"/>
          <w:sz w:val="60"/>
          <w:szCs w:val="60"/>
        </w:rPr>
      </w:pPr>
      <w:bookmarkStart w:id="0" w:name="_GoBack"/>
      <w:bookmarkEnd w:id="0"/>
      <w:r>
        <w:rPr>
          <w:rFonts w:ascii="Dekar" w:hAnsi="Dekar" w:cs="Dekar"/>
          <w:color w:val="A90000"/>
          <w:sz w:val="60"/>
          <w:szCs w:val="60"/>
        </w:rPr>
        <w:t xml:space="preserve">Le tronc commun </w:t>
      </w:r>
      <w:r>
        <w:rPr>
          <w:rFonts w:ascii="Dekar" w:hAnsi="Dekar" w:cs="Dekar"/>
          <w:color w:val="CDCDCD"/>
          <w:sz w:val="60"/>
          <w:szCs w:val="60"/>
        </w:rPr>
        <w:t>du master MEEF</w:t>
      </w:r>
    </w:p>
    <w:p w:rsidR="00577BA0" w:rsidRDefault="00577BA0" w:rsidP="00577BA0">
      <w:pPr>
        <w:autoSpaceDE w:val="0"/>
        <w:autoSpaceDN w:val="0"/>
        <w:adjustRightInd w:val="0"/>
        <w:spacing w:after="0" w:line="240" w:lineRule="auto"/>
        <w:jc w:val="both"/>
        <w:rPr>
          <w:rFonts w:ascii="Arial" w:hAnsi="Arial" w:cs="Arial"/>
          <w:color w:val="000012"/>
          <w:sz w:val="20"/>
          <w:szCs w:val="20"/>
        </w:rPr>
      </w:pPr>
      <w:r>
        <w:rPr>
          <w:rFonts w:ascii="Arial" w:hAnsi="Arial" w:cs="Arial"/>
          <w:color w:val="A90000"/>
          <w:sz w:val="52"/>
          <w:szCs w:val="52"/>
        </w:rPr>
        <w:t>C</w:t>
      </w:r>
      <w:r>
        <w:rPr>
          <w:rFonts w:ascii="Arial" w:hAnsi="Arial" w:cs="Arial"/>
          <w:color w:val="000012"/>
          <w:sz w:val="20"/>
          <w:szCs w:val="20"/>
        </w:rPr>
        <w:t>ommuns à l'ensemble des parcours MEEF, ces contenus contribuent à la construction d’une culture commune à tous les enseignants et personnels de l’Education nationale (enseignants des 1</w:t>
      </w:r>
      <w:r>
        <w:rPr>
          <w:rFonts w:ascii="Arial" w:hAnsi="Arial" w:cs="Arial"/>
          <w:color w:val="000012"/>
          <w:sz w:val="12"/>
          <w:szCs w:val="12"/>
        </w:rPr>
        <w:t xml:space="preserve">er </w:t>
      </w:r>
      <w:r>
        <w:rPr>
          <w:rFonts w:ascii="Arial" w:hAnsi="Arial" w:cs="Arial"/>
          <w:color w:val="000012"/>
          <w:sz w:val="20"/>
          <w:szCs w:val="20"/>
        </w:rPr>
        <w:t>et 2</w:t>
      </w:r>
      <w:r>
        <w:rPr>
          <w:rFonts w:ascii="Arial" w:hAnsi="Arial" w:cs="Arial"/>
          <w:color w:val="000012"/>
          <w:sz w:val="12"/>
          <w:szCs w:val="12"/>
        </w:rPr>
        <w:t xml:space="preserve">nd </w:t>
      </w:r>
      <w:r>
        <w:rPr>
          <w:rFonts w:ascii="Arial" w:hAnsi="Arial" w:cs="Arial"/>
          <w:color w:val="000012"/>
          <w:sz w:val="20"/>
          <w:szCs w:val="20"/>
        </w:rPr>
        <w:t>degrés, CPE</w:t>
      </w:r>
      <w:r w:rsidR="00B550F6">
        <w:rPr>
          <w:rFonts w:ascii="Arial" w:hAnsi="Arial" w:cs="Arial"/>
          <w:color w:val="000012"/>
          <w:sz w:val="20"/>
          <w:szCs w:val="20"/>
        </w:rPr>
        <w:t>, psychologues de l’éducation nationale</w:t>
      </w:r>
      <w:r>
        <w:rPr>
          <w:rFonts w:ascii="Arial" w:hAnsi="Arial" w:cs="Arial"/>
          <w:color w:val="000012"/>
          <w:sz w:val="20"/>
          <w:szCs w:val="20"/>
        </w:rPr>
        <w:t>).</w:t>
      </w:r>
    </w:p>
    <w:p w:rsidR="00394CB9" w:rsidRDefault="00394CB9" w:rsidP="00577BA0">
      <w:pPr>
        <w:autoSpaceDE w:val="0"/>
        <w:autoSpaceDN w:val="0"/>
        <w:adjustRightInd w:val="0"/>
        <w:spacing w:after="0" w:line="240" w:lineRule="auto"/>
        <w:jc w:val="both"/>
        <w:rPr>
          <w:rFonts w:ascii="Arial" w:hAnsi="Arial" w:cs="Arial"/>
          <w:color w:val="000012"/>
          <w:sz w:val="20"/>
          <w:szCs w:val="20"/>
        </w:rPr>
      </w:pPr>
    </w:p>
    <w:p w:rsidR="00577BA0" w:rsidRDefault="00577BA0" w:rsidP="00577BA0">
      <w:pPr>
        <w:autoSpaceDE w:val="0"/>
        <w:autoSpaceDN w:val="0"/>
        <w:adjustRightInd w:val="0"/>
        <w:spacing w:after="0" w:line="240" w:lineRule="auto"/>
        <w:jc w:val="both"/>
        <w:rPr>
          <w:rFonts w:ascii="Arial" w:hAnsi="Arial" w:cs="Arial"/>
          <w:color w:val="000012"/>
          <w:sz w:val="20"/>
          <w:szCs w:val="20"/>
        </w:rPr>
      </w:pPr>
      <w:r>
        <w:rPr>
          <w:rFonts w:ascii="Arial" w:hAnsi="Arial" w:cs="Arial"/>
          <w:color w:val="000012"/>
          <w:sz w:val="20"/>
          <w:szCs w:val="20"/>
        </w:rPr>
        <w:t>Ce tronc commun vise l'acquisition d’un ensemble de connaissances et contenus relatifs à l’environnement institutionnel et social des métiers de l’enseignement et de l’éducation. Ces connaissances sont constitutives de la construction progressive des compétences professionnelles du référentiel commun des professeurs et personnels d'éducation et nécessaires à l’exercice de leurs missions.</w:t>
      </w:r>
    </w:p>
    <w:p w:rsidR="00394CB9" w:rsidRDefault="00394CB9" w:rsidP="00577BA0">
      <w:pPr>
        <w:autoSpaceDE w:val="0"/>
        <w:autoSpaceDN w:val="0"/>
        <w:adjustRightInd w:val="0"/>
        <w:spacing w:after="0" w:line="240" w:lineRule="auto"/>
        <w:jc w:val="both"/>
        <w:rPr>
          <w:rFonts w:ascii="Arial" w:hAnsi="Arial" w:cs="Arial"/>
          <w:color w:val="000012"/>
          <w:sz w:val="20"/>
          <w:szCs w:val="20"/>
        </w:rPr>
      </w:pPr>
    </w:p>
    <w:p w:rsidR="00577BA0" w:rsidRDefault="00577BA0" w:rsidP="00577BA0">
      <w:pPr>
        <w:autoSpaceDE w:val="0"/>
        <w:autoSpaceDN w:val="0"/>
        <w:adjustRightInd w:val="0"/>
        <w:spacing w:after="0" w:line="240" w:lineRule="auto"/>
        <w:jc w:val="both"/>
        <w:rPr>
          <w:rFonts w:ascii="Arial" w:hAnsi="Arial" w:cs="Arial"/>
          <w:color w:val="000012"/>
          <w:sz w:val="20"/>
          <w:szCs w:val="20"/>
        </w:rPr>
      </w:pPr>
      <w:r>
        <w:rPr>
          <w:rFonts w:ascii="Arial" w:hAnsi="Arial" w:cs="Arial"/>
          <w:color w:val="000012"/>
          <w:sz w:val="20"/>
          <w:szCs w:val="20"/>
        </w:rPr>
        <w:t>Progressivement articulés à la pratique professionnelle en école ou en établissement, ces enseignements mutualisés permettent aux futurs enseignants</w:t>
      </w:r>
      <w:r w:rsidR="00B575E5">
        <w:rPr>
          <w:rFonts w:ascii="Arial" w:hAnsi="Arial" w:cs="Arial"/>
          <w:color w:val="000012"/>
          <w:sz w:val="20"/>
          <w:szCs w:val="20"/>
        </w:rPr>
        <w:t xml:space="preserve"> </w:t>
      </w:r>
      <w:r>
        <w:rPr>
          <w:rFonts w:ascii="Arial" w:hAnsi="Arial" w:cs="Arial"/>
          <w:color w:val="000012"/>
          <w:sz w:val="20"/>
          <w:szCs w:val="20"/>
        </w:rPr>
        <w:t>et personnels de l'Education nationale de se construire, sur les deux années de master, une identité professionnelle prenant appui sur</w:t>
      </w:r>
      <w:r w:rsidR="00B575E5">
        <w:rPr>
          <w:rFonts w:ascii="Arial" w:hAnsi="Arial" w:cs="Arial"/>
          <w:color w:val="000012"/>
          <w:sz w:val="20"/>
          <w:szCs w:val="20"/>
        </w:rPr>
        <w:t xml:space="preserve"> </w:t>
      </w:r>
      <w:r>
        <w:rPr>
          <w:rFonts w:ascii="Arial" w:hAnsi="Arial" w:cs="Arial"/>
          <w:color w:val="000012"/>
          <w:sz w:val="20"/>
          <w:szCs w:val="20"/>
        </w:rPr>
        <w:t>des compétences communes développées au sein de cet espace de formation partagé. Par l'approfondissement de la connaissance des acteurs</w:t>
      </w:r>
      <w:r w:rsidR="00B575E5">
        <w:rPr>
          <w:rFonts w:ascii="Arial" w:hAnsi="Arial" w:cs="Arial"/>
          <w:color w:val="000012"/>
          <w:sz w:val="20"/>
          <w:szCs w:val="20"/>
        </w:rPr>
        <w:t xml:space="preserve"> </w:t>
      </w:r>
      <w:r>
        <w:rPr>
          <w:rFonts w:ascii="Arial" w:hAnsi="Arial" w:cs="Arial"/>
          <w:color w:val="000012"/>
          <w:sz w:val="20"/>
          <w:szCs w:val="20"/>
        </w:rPr>
        <w:t>et du fonctionnement du système éducatif, l'analyse, la compréhension et la gestion des situations professionnelles rencontrées dans l’exercice</w:t>
      </w:r>
      <w:r w:rsidR="00B575E5">
        <w:rPr>
          <w:rFonts w:ascii="Arial" w:hAnsi="Arial" w:cs="Arial"/>
          <w:color w:val="000012"/>
          <w:sz w:val="20"/>
          <w:szCs w:val="20"/>
        </w:rPr>
        <w:t xml:space="preserve"> </w:t>
      </w:r>
      <w:r>
        <w:rPr>
          <w:rFonts w:ascii="Arial" w:hAnsi="Arial" w:cs="Arial"/>
          <w:color w:val="000012"/>
          <w:sz w:val="20"/>
          <w:szCs w:val="20"/>
        </w:rPr>
        <w:t>du métier, ces enseignements visent à amorcer et à accompagner le passage d’une posture étudiante à une véritable posture professionnelle.</w:t>
      </w:r>
    </w:p>
    <w:p w:rsidR="00394CB9" w:rsidRDefault="00394CB9" w:rsidP="00577BA0">
      <w:pPr>
        <w:autoSpaceDE w:val="0"/>
        <w:autoSpaceDN w:val="0"/>
        <w:adjustRightInd w:val="0"/>
        <w:spacing w:after="0" w:line="240" w:lineRule="auto"/>
        <w:jc w:val="both"/>
        <w:rPr>
          <w:rFonts w:ascii="Arial" w:hAnsi="Arial" w:cs="Arial"/>
          <w:color w:val="000012"/>
          <w:sz w:val="20"/>
          <w:szCs w:val="20"/>
        </w:rPr>
      </w:pPr>
    </w:p>
    <w:p w:rsidR="004E63FB" w:rsidRDefault="00577BA0" w:rsidP="00577BA0">
      <w:pPr>
        <w:autoSpaceDE w:val="0"/>
        <w:autoSpaceDN w:val="0"/>
        <w:adjustRightInd w:val="0"/>
        <w:spacing w:after="0" w:line="240" w:lineRule="auto"/>
        <w:jc w:val="both"/>
        <w:rPr>
          <w:rFonts w:ascii="Arial" w:hAnsi="Arial" w:cs="Arial"/>
          <w:color w:val="000012"/>
          <w:sz w:val="20"/>
          <w:szCs w:val="20"/>
        </w:rPr>
      </w:pPr>
      <w:r>
        <w:rPr>
          <w:rFonts w:ascii="Arial" w:hAnsi="Arial" w:cs="Arial"/>
          <w:color w:val="000012"/>
          <w:sz w:val="20"/>
          <w:szCs w:val="20"/>
        </w:rPr>
        <w:t>Partant de connaissances scientifiques, professionnelles et institutionnelles issues de différentes disciplines (psychologie, sociologie, histoire,</w:t>
      </w:r>
      <w:r w:rsidR="0059133E">
        <w:rPr>
          <w:rFonts w:ascii="Arial" w:hAnsi="Arial" w:cs="Arial"/>
          <w:color w:val="000012"/>
          <w:sz w:val="20"/>
          <w:szCs w:val="20"/>
        </w:rPr>
        <w:t xml:space="preserve"> </w:t>
      </w:r>
      <w:r>
        <w:rPr>
          <w:rFonts w:ascii="Arial" w:hAnsi="Arial" w:cs="Arial"/>
          <w:color w:val="000012"/>
          <w:sz w:val="20"/>
          <w:szCs w:val="20"/>
        </w:rPr>
        <w:t xml:space="preserve">sciences de l’éducation…), </w:t>
      </w:r>
      <w:r w:rsidR="00B575E5">
        <w:rPr>
          <w:rFonts w:ascii="Arial" w:hAnsi="Arial" w:cs="Arial"/>
          <w:color w:val="000012"/>
          <w:sz w:val="20"/>
          <w:szCs w:val="20"/>
        </w:rPr>
        <w:t>ce tronc commun</w:t>
      </w:r>
      <w:r>
        <w:rPr>
          <w:rFonts w:ascii="Arial" w:hAnsi="Arial" w:cs="Arial"/>
          <w:color w:val="000012"/>
          <w:sz w:val="20"/>
          <w:szCs w:val="20"/>
        </w:rPr>
        <w:t xml:space="preserve"> correspond à une volonté de cohérence et de progressivité sur les deux années de master</w:t>
      </w:r>
      <w:r w:rsidR="00B575E5">
        <w:rPr>
          <w:rFonts w:ascii="Arial" w:hAnsi="Arial" w:cs="Arial"/>
          <w:color w:val="000012"/>
          <w:sz w:val="20"/>
          <w:szCs w:val="20"/>
        </w:rPr>
        <w:t xml:space="preserve"> et irrigue les quatre focales du métier qui fondent la formation : l’enseignant concepteur des apprentissages ; l’enseignant pilote des apprentissages ; l’enseignant acteur de la communauté éducative ; les fondements éthiques et l’identité professionnelle.</w:t>
      </w:r>
    </w:p>
    <w:p w:rsidR="00874278" w:rsidRDefault="00874278" w:rsidP="00577BA0">
      <w:pPr>
        <w:autoSpaceDE w:val="0"/>
        <w:autoSpaceDN w:val="0"/>
        <w:adjustRightInd w:val="0"/>
        <w:spacing w:after="0" w:line="240" w:lineRule="auto"/>
        <w:jc w:val="both"/>
        <w:rPr>
          <w:rFonts w:ascii="Arial" w:hAnsi="Arial" w:cs="Arial"/>
          <w:color w:val="000012"/>
          <w:sz w:val="20"/>
          <w:szCs w:val="20"/>
        </w:rPr>
      </w:pPr>
    </w:p>
    <w:p w:rsidR="00874278" w:rsidRDefault="00874278" w:rsidP="00577BA0">
      <w:pPr>
        <w:autoSpaceDE w:val="0"/>
        <w:autoSpaceDN w:val="0"/>
        <w:adjustRightInd w:val="0"/>
        <w:spacing w:after="0" w:line="240" w:lineRule="auto"/>
        <w:jc w:val="both"/>
        <w:rPr>
          <w:rFonts w:ascii="Arial" w:hAnsi="Arial" w:cs="Arial"/>
          <w:color w:val="000012"/>
          <w:sz w:val="20"/>
          <w:szCs w:val="20"/>
        </w:rPr>
      </w:pPr>
    </w:p>
    <w:p w:rsidR="0059133E" w:rsidRDefault="0059133E" w:rsidP="0059133E">
      <w:pPr>
        <w:autoSpaceDE w:val="0"/>
        <w:autoSpaceDN w:val="0"/>
        <w:adjustRightInd w:val="0"/>
        <w:spacing w:after="0" w:line="240" w:lineRule="auto"/>
        <w:jc w:val="both"/>
        <w:rPr>
          <w:rFonts w:ascii="Arial" w:hAnsi="Arial" w:cs="Arial"/>
          <w:color w:val="000012"/>
          <w:sz w:val="20"/>
          <w:szCs w:val="20"/>
        </w:rPr>
      </w:pPr>
      <w:r>
        <w:rPr>
          <w:rFonts w:ascii="Arial" w:hAnsi="Arial" w:cs="Arial"/>
          <w:b/>
          <w:color w:val="000012"/>
          <w:sz w:val="20"/>
          <w:szCs w:val="20"/>
        </w:rPr>
        <w:t>Ainsi, les contenus de master 1</w:t>
      </w:r>
      <w:r>
        <w:rPr>
          <w:rFonts w:ascii="Arial" w:hAnsi="Arial" w:cs="Arial"/>
          <w:color w:val="000012"/>
          <w:sz w:val="20"/>
          <w:szCs w:val="20"/>
        </w:rPr>
        <w:t xml:space="preserve"> </w:t>
      </w:r>
      <w:r w:rsidR="00394CB9">
        <w:rPr>
          <w:rFonts w:ascii="Arial" w:hAnsi="Arial" w:cs="Arial"/>
          <w:color w:val="000012"/>
          <w:sz w:val="20"/>
          <w:szCs w:val="20"/>
        </w:rPr>
        <w:t xml:space="preserve">prennent appui sur les stages d’observation et de pratique accompagnée et </w:t>
      </w:r>
      <w:r>
        <w:rPr>
          <w:rFonts w:ascii="Arial" w:hAnsi="Arial" w:cs="Arial"/>
          <w:color w:val="000012"/>
          <w:sz w:val="20"/>
          <w:szCs w:val="20"/>
        </w:rPr>
        <w:t>mettent l'accent sur :</w:t>
      </w:r>
    </w:p>
    <w:p w:rsidR="0059133E" w:rsidRDefault="0059133E" w:rsidP="0059133E">
      <w:pPr>
        <w:pStyle w:val="Paragraphedeliste"/>
        <w:numPr>
          <w:ilvl w:val="0"/>
          <w:numId w:val="12"/>
        </w:numPr>
        <w:autoSpaceDE w:val="0"/>
        <w:autoSpaceDN w:val="0"/>
        <w:adjustRightInd w:val="0"/>
        <w:spacing w:after="0" w:line="240" w:lineRule="auto"/>
        <w:jc w:val="both"/>
        <w:rPr>
          <w:rFonts w:ascii="Arial" w:hAnsi="Arial" w:cs="Arial"/>
          <w:color w:val="000012"/>
          <w:sz w:val="20"/>
          <w:szCs w:val="20"/>
        </w:rPr>
      </w:pPr>
      <w:r>
        <w:rPr>
          <w:rFonts w:ascii="Arial" w:hAnsi="Arial" w:cs="Arial"/>
          <w:bCs/>
          <w:color w:val="000012"/>
          <w:sz w:val="20"/>
          <w:szCs w:val="20"/>
        </w:rPr>
        <w:t>L</w:t>
      </w:r>
      <w:r w:rsidRPr="0059133E">
        <w:rPr>
          <w:rFonts w:ascii="Arial" w:hAnsi="Arial" w:cs="Arial"/>
          <w:bCs/>
          <w:color w:val="000012"/>
          <w:sz w:val="20"/>
          <w:szCs w:val="20"/>
        </w:rPr>
        <w:t>a connaissance du système éducatif</w:t>
      </w:r>
      <w:r w:rsidRPr="0059133E">
        <w:rPr>
          <w:rFonts w:ascii="Arial" w:hAnsi="Arial" w:cs="Arial"/>
          <w:color w:val="000012"/>
          <w:sz w:val="20"/>
          <w:szCs w:val="20"/>
        </w:rPr>
        <w:t>, son histoire, ses enjeux et sur celle des politiques éducatives qui orientent et structurent ses évolutions</w:t>
      </w:r>
      <w:r w:rsidR="00766CA1">
        <w:rPr>
          <w:rFonts w:ascii="Arial" w:hAnsi="Arial" w:cs="Arial"/>
          <w:color w:val="000012"/>
          <w:sz w:val="20"/>
          <w:szCs w:val="20"/>
        </w:rPr>
        <w:t xml:space="preserve"> et son organisation</w:t>
      </w:r>
      <w:r w:rsidRPr="0059133E">
        <w:rPr>
          <w:rFonts w:ascii="Arial" w:hAnsi="Arial" w:cs="Arial"/>
          <w:color w:val="000012"/>
          <w:sz w:val="20"/>
          <w:szCs w:val="20"/>
        </w:rPr>
        <w:t xml:space="preserve">. </w:t>
      </w:r>
    </w:p>
    <w:p w:rsidR="0059133E" w:rsidRPr="0059133E" w:rsidRDefault="0059133E" w:rsidP="0059133E">
      <w:pPr>
        <w:pStyle w:val="Paragraphedeliste"/>
        <w:numPr>
          <w:ilvl w:val="0"/>
          <w:numId w:val="12"/>
        </w:numPr>
        <w:autoSpaceDE w:val="0"/>
        <w:autoSpaceDN w:val="0"/>
        <w:adjustRightInd w:val="0"/>
        <w:spacing w:after="0" w:line="240" w:lineRule="auto"/>
        <w:jc w:val="both"/>
        <w:rPr>
          <w:rFonts w:ascii="Arial" w:hAnsi="Arial" w:cs="Arial"/>
          <w:color w:val="000012"/>
          <w:sz w:val="20"/>
          <w:szCs w:val="20"/>
        </w:rPr>
      </w:pPr>
      <w:r>
        <w:rPr>
          <w:rFonts w:ascii="Arial" w:hAnsi="Arial" w:cs="Arial"/>
          <w:color w:val="000012"/>
          <w:sz w:val="20"/>
          <w:szCs w:val="20"/>
        </w:rPr>
        <w:t>L</w:t>
      </w:r>
      <w:r w:rsidRPr="0059133E">
        <w:rPr>
          <w:rFonts w:ascii="Arial" w:hAnsi="Arial" w:cs="Arial"/>
          <w:bCs/>
          <w:color w:val="000012"/>
          <w:sz w:val="20"/>
          <w:szCs w:val="20"/>
        </w:rPr>
        <w:t>a connaissance</w:t>
      </w:r>
      <w:r>
        <w:rPr>
          <w:rFonts w:ascii="Arial" w:hAnsi="Arial" w:cs="Arial"/>
          <w:bCs/>
          <w:color w:val="000012"/>
          <w:sz w:val="20"/>
          <w:szCs w:val="20"/>
        </w:rPr>
        <w:t xml:space="preserve"> et la compréhension des publics scolaires et</w:t>
      </w:r>
      <w:r w:rsidR="00394CB9">
        <w:rPr>
          <w:rFonts w:ascii="Arial" w:hAnsi="Arial" w:cs="Arial"/>
          <w:bCs/>
          <w:color w:val="000012"/>
          <w:sz w:val="20"/>
          <w:szCs w:val="20"/>
        </w:rPr>
        <w:t xml:space="preserve"> de la diversité des élèves.</w:t>
      </w:r>
    </w:p>
    <w:p w:rsidR="0059133E" w:rsidRDefault="0059133E" w:rsidP="0059133E">
      <w:pPr>
        <w:autoSpaceDE w:val="0"/>
        <w:autoSpaceDN w:val="0"/>
        <w:adjustRightInd w:val="0"/>
        <w:spacing w:after="0" w:line="240" w:lineRule="auto"/>
        <w:jc w:val="both"/>
        <w:rPr>
          <w:rFonts w:ascii="Arial" w:hAnsi="Arial" w:cs="Arial"/>
          <w:color w:val="000012"/>
          <w:sz w:val="20"/>
          <w:szCs w:val="20"/>
        </w:rPr>
      </w:pPr>
    </w:p>
    <w:p w:rsidR="00394CB9" w:rsidRDefault="00394CB9" w:rsidP="0059133E">
      <w:pPr>
        <w:autoSpaceDE w:val="0"/>
        <w:autoSpaceDN w:val="0"/>
        <w:adjustRightInd w:val="0"/>
        <w:spacing w:after="0" w:line="240" w:lineRule="auto"/>
        <w:jc w:val="both"/>
        <w:rPr>
          <w:rFonts w:ascii="Arial" w:hAnsi="Arial" w:cs="Arial"/>
          <w:color w:val="000012"/>
          <w:sz w:val="20"/>
          <w:szCs w:val="20"/>
        </w:rPr>
      </w:pPr>
      <w:r>
        <w:rPr>
          <w:rFonts w:ascii="Arial" w:hAnsi="Arial" w:cs="Arial"/>
          <w:b/>
          <w:color w:val="000012"/>
          <w:sz w:val="20"/>
          <w:szCs w:val="20"/>
        </w:rPr>
        <w:t>L</w:t>
      </w:r>
      <w:r w:rsidR="00766CA1">
        <w:rPr>
          <w:rFonts w:ascii="Arial" w:hAnsi="Arial" w:cs="Arial"/>
          <w:b/>
          <w:color w:val="000012"/>
          <w:sz w:val="20"/>
          <w:szCs w:val="20"/>
        </w:rPr>
        <w:t>es</w:t>
      </w:r>
      <w:r w:rsidR="0059133E">
        <w:rPr>
          <w:rFonts w:ascii="Arial" w:hAnsi="Arial" w:cs="Arial"/>
          <w:b/>
          <w:color w:val="000012"/>
          <w:sz w:val="20"/>
          <w:szCs w:val="20"/>
        </w:rPr>
        <w:t xml:space="preserve"> contenus de master 2</w:t>
      </w:r>
      <w:r w:rsidR="0059133E">
        <w:rPr>
          <w:rFonts w:ascii="Arial" w:hAnsi="Arial" w:cs="Arial"/>
          <w:color w:val="000012"/>
          <w:sz w:val="20"/>
          <w:szCs w:val="20"/>
        </w:rPr>
        <w:t xml:space="preserve">, privilégient une </w:t>
      </w:r>
      <w:r w:rsidR="00766CA1">
        <w:rPr>
          <w:rFonts w:ascii="Arial" w:hAnsi="Arial" w:cs="Arial"/>
          <w:color w:val="000012"/>
          <w:sz w:val="20"/>
          <w:szCs w:val="20"/>
        </w:rPr>
        <w:t xml:space="preserve">approche </w:t>
      </w:r>
      <w:r w:rsidR="0059133E">
        <w:rPr>
          <w:rFonts w:ascii="Arial" w:hAnsi="Arial" w:cs="Arial"/>
          <w:color w:val="000012"/>
          <w:sz w:val="20"/>
          <w:szCs w:val="20"/>
        </w:rPr>
        <w:t>articulée à l’exercice professionnel et à son environnemen</w:t>
      </w:r>
      <w:r w:rsidR="00766CA1">
        <w:rPr>
          <w:rFonts w:ascii="Arial" w:hAnsi="Arial" w:cs="Arial"/>
          <w:color w:val="000012"/>
          <w:sz w:val="20"/>
          <w:szCs w:val="20"/>
        </w:rPr>
        <w:t>t. L’identité professionnelle et le développement d’une culture partagée par les futurs acteurs de l’école se construit progressivement par l’analyse des pratiques professionnelles</w:t>
      </w:r>
      <w:r>
        <w:rPr>
          <w:rFonts w:ascii="Arial" w:hAnsi="Arial" w:cs="Arial"/>
          <w:color w:val="000012"/>
          <w:sz w:val="20"/>
          <w:szCs w:val="20"/>
        </w:rPr>
        <w:t> :</w:t>
      </w:r>
    </w:p>
    <w:p w:rsidR="00766CA1" w:rsidRDefault="00766CA1" w:rsidP="0059133E">
      <w:pPr>
        <w:autoSpaceDE w:val="0"/>
        <w:autoSpaceDN w:val="0"/>
        <w:adjustRightInd w:val="0"/>
        <w:spacing w:after="0" w:line="240" w:lineRule="auto"/>
        <w:jc w:val="both"/>
        <w:rPr>
          <w:rFonts w:ascii="Arial" w:hAnsi="Arial" w:cs="Arial"/>
          <w:color w:val="000012"/>
          <w:sz w:val="20"/>
          <w:szCs w:val="20"/>
        </w:rPr>
      </w:pPr>
      <w:r>
        <w:rPr>
          <w:rFonts w:ascii="Arial" w:hAnsi="Arial" w:cs="Arial"/>
          <w:color w:val="000012"/>
          <w:sz w:val="20"/>
          <w:szCs w:val="20"/>
        </w:rPr>
        <w:t xml:space="preserve">- </w:t>
      </w:r>
      <w:r w:rsidR="00394CB9">
        <w:rPr>
          <w:rFonts w:ascii="Arial" w:hAnsi="Arial" w:cs="Arial"/>
          <w:color w:val="000012"/>
          <w:sz w:val="20"/>
          <w:szCs w:val="20"/>
        </w:rPr>
        <w:t xml:space="preserve">d’une part, </w:t>
      </w:r>
      <w:r>
        <w:rPr>
          <w:rFonts w:ascii="Arial" w:hAnsi="Arial" w:cs="Arial"/>
          <w:color w:val="000012"/>
          <w:sz w:val="20"/>
          <w:szCs w:val="20"/>
        </w:rPr>
        <w:t xml:space="preserve">au sein </w:t>
      </w:r>
      <w:r w:rsidR="0059133E">
        <w:rPr>
          <w:rFonts w:ascii="Arial" w:hAnsi="Arial" w:cs="Arial"/>
          <w:color w:val="000012"/>
          <w:sz w:val="20"/>
          <w:szCs w:val="20"/>
        </w:rPr>
        <w:t xml:space="preserve">de </w:t>
      </w:r>
      <w:r w:rsidR="0059133E">
        <w:rPr>
          <w:rFonts w:ascii="Arial" w:hAnsi="Arial" w:cs="Arial"/>
          <w:bCs/>
          <w:color w:val="000012"/>
          <w:sz w:val="20"/>
          <w:szCs w:val="20"/>
        </w:rPr>
        <w:t>la classe</w:t>
      </w:r>
      <w:r>
        <w:rPr>
          <w:rFonts w:ascii="Arial" w:hAnsi="Arial" w:cs="Arial"/>
          <w:bCs/>
          <w:color w:val="000012"/>
          <w:sz w:val="20"/>
          <w:szCs w:val="20"/>
        </w:rPr>
        <w:t> </w:t>
      </w:r>
      <w:r>
        <w:rPr>
          <w:rFonts w:ascii="Arial" w:hAnsi="Arial" w:cs="Arial"/>
          <w:color w:val="000012"/>
          <w:sz w:val="20"/>
          <w:szCs w:val="20"/>
        </w:rPr>
        <w:t xml:space="preserve">: </w:t>
      </w:r>
      <w:r w:rsidR="00394CB9">
        <w:rPr>
          <w:rFonts w:ascii="Arial" w:hAnsi="Arial" w:cs="Arial"/>
          <w:color w:val="000012"/>
          <w:sz w:val="20"/>
          <w:szCs w:val="20"/>
        </w:rPr>
        <w:t xml:space="preserve">posture de l’enseignant, pratiques pédagogiques : </w:t>
      </w:r>
      <w:r>
        <w:rPr>
          <w:rFonts w:ascii="Arial" w:hAnsi="Arial" w:cs="Arial"/>
          <w:color w:val="000012"/>
          <w:sz w:val="20"/>
          <w:szCs w:val="20"/>
        </w:rPr>
        <w:t>différenc</w:t>
      </w:r>
      <w:r w:rsidR="0059133E">
        <w:rPr>
          <w:rFonts w:ascii="Arial" w:hAnsi="Arial" w:cs="Arial"/>
          <w:color w:val="000012"/>
          <w:sz w:val="20"/>
          <w:szCs w:val="20"/>
        </w:rPr>
        <w:t>i</w:t>
      </w:r>
      <w:r>
        <w:rPr>
          <w:rFonts w:ascii="Arial" w:hAnsi="Arial" w:cs="Arial"/>
          <w:color w:val="000012"/>
          <w:sz w:val="20"/>
          <w:szCs w:val="20"/>
        </w:rPr>
        <w:t>ation</w:t>
      </w:r>
      <w:r w:rsidR="00394CB9">
        <w:rPr>
          <w:rFonts w:ascii="Arial" w:hAnsi="Arial" w:cs="Arial"/>
          <w:color w:val="000012"/>
          <w:sz w:val="20"/>
          <w:szCs w:val="20"/>
        </w:rPr>
        <w:t xml:space="preserve"> et évaluation, i</w:t>
      </w:r>
      <w:r w:rsidR="0059133E">
        <w:rPr>
          <w:rFonts w:ascii="Arial" w:hAnsi="Arial" w:cs="Arial"/>
          <w:color w:val="000012"/>
          <w:sz w:val="20"/>
          <w:szCs w:val="20"/>
        </w:rPr>
        <w:t>nteractions</w:t>
      </w:r>
      <w:r w:rsidR="00394CB9">
        <w:rPr>
          <w:rFonts w:ascii="Arial" w:hAnsi="Arial" w:cs="Arial"/>
          <w:color w:val="000012"/>
          <w:sz w:val="20"/>
          <w:szCs w:val="20"/>
        </w:rPr>
        <w:t xml:space="preserve"> enseignants/élèves, climat d’apprentissages.</w:t>
      </w:r>
    </w:p>
    <w:p w:rsidR="0059133E" w:rsidRPr="00766CA1" w:rsidRDefault="00766CA1" w:rsidP="0059133E">
      <w:pPr>
        <w:autoSpaceDE w:val="0"/>
        <w:autoSpaceDN w:val="0"/>
        <w:adjustRightInd w:val="0"/>
        <w:spacing w:after="0" w:line="240" w:lineRule="auto"/>
        <w:jc w:val="both"/>
        <w:rPr>
          <w:rFonts w:ascii="Arial" w:hAnsi="Arial" w:cs="Arial"/>
          <w:b/>
          <w:color w:val="000012"/>
          <w:sz w:val="20"/>
          <w:szCs w:val="20"/>
        </w:rPr>
      </w:pPr>
      <w:r>
        <w:rPr>
          <w:rFonts w:ascii="Arial" w:hAnsi="Arial" w:cs="Arial"/>
          <w:color w:val="000012"/>
          <w:sz w:val="20"/>
          <w:szCs w:val="20"/>
        </w:rPr>
        <w:t xml:space="preserve">- </w:t>
      </w:r>
      <w:r w:rsidR="00394CB9">
        <w:rPr>
          <w:rFonts w:ascii="Arial" w:hAnsi="Arial" w:cs="Arial"/>
          <w:color w:val="000012"/>
          <w:sz w:val="20"/>
          <w:szCs w:val="20"/>
        </w:rPr>
        <w:t xml:space="preserve"> d’autre part, au sein </w:t>
      </w:r>
      <w:r w:rsidR="0059133E">
        <w:rPr>
          <w:rFonts w:ascii="Arial" w:hAnsi="Arial" w:cs="Arial"/>
          <w:bCs/>
          <w:color w:val="000012"/>
          <w:sz w:val="20"/>
          <w:szCs w:val="20"/>
        </w:rPr>
        <w:t>de l’école ou de l’établissement scolaire</w:t>
      </w:r>
      <w:r w:rsidR="00394CB9">
        <w:rPr>
          <w:rFonts w:ascii="Arial" w:hAnsi="Arial" w:cs="Arial"/>
          <w:bCs/>
          <w:color w:val="000012"/>
          <w:sz w:val="20"/>
          <w:szCs w:val="20"/>
        </w:rPr>
        <w:t> : projet d’école ou d’établissement, travail au sein de l’équipe pédagogique/éducative, alliances éducatives : familles, partenaires éducatifs de l’environnement social et culturel de l’école/de l’établissement.</w:t>
      </w:r>
    </w:p>
    <w:p w:rsidR="00874278" w:rsidRDefault="00874278" w:rsidP="00577BA0">
      <w:pPr>
        <w:autoSpaceDE w:val="0"/>
        <w:autoSpaceDN w:val="0"/>
        <w:adjustRightInd w:val="0"/>
        <w:spacing w:after="0" w:line="240" w:lineRule="auto"/>
        <w:jc w:val="both"/>
        <w:rPr>
          <w:rFonts w:ascii="Arial" w:hAnsi="Arial" w:cs="Arial"/>
          <w:color w:val="000012"/>
          <w:sz w:val="20"/>
          <w:szCs w:val="20"/>
        </w:rPr>
      </w:pPr>
    </w:p>
    <w:p w:rsidR="00874278" w:rsidRDefault="00874278" w:rsidP="00577BA0">
      <w:pPr>
        <w:autoSpaceDE w:val="0"/>
        <w:autoSpaceDN w:val="0"/>
        <w:adjustRightInd w:val="0"/>
        <w:spacing w:after="0" w:line="240" w:lineRule="auto"/>
        <w:jc w:val="both"/>
        <w:rPr>
          <w:rFonts w:ascii="Arial" w:hAnsi="Arial" w:cs="Arial"/>
          <w:color w:val="000012"/>
          <w:sz w:val="20"/>
          <w:szCs w:val="20"/>
        </w:rPr>
      </w:pPr>
    </w:p>
    <w:p w:rsidR="00874278" w:rsidRDefault="00874278" w:rsidP="00577BA0">
      <w:pPr>
        <w:autoSpaceDE w:val="0"/>
        <w:autoSpaceDN w:val="0"/>
        <w:adjustRightInd w:val="0"/>
        <w:spacing w:after="0" w:line="240" w:lineRule="auto"/>
        <w:jc w:val="both"/>
        <w:rPr>
          <w:rFonts w:ascii="Arial" w:hAnsi="Arial" w:cs="Arial"/>
          <w:color w:val="000012"/>
          <w:sz w:val="20"/>
          <w:szCs w:val="20"/>
        </w:rPr>
      </w:pPr>
    </w:p>
    <w:p w:rsidR="00874278" w:rsidRDefault="00874278" w:rsidP="00577BA0">
      <w:pPr>
        <w:autoSpaceDE w:val="0"/>
        <w:autoSpaceDN w:val="0"/>
        <w:adjustRightInd w:val="0"/>
        <w:spacing w:after="0" w:line="240" w:lineRule="auto"/>
        <w:jc w:val="both"/>
        <w:rPr>
          <w:rFonts w:ascii="Arial" w:hAnsi="Arial" w:cs="Arial"/>
          <w:color w:val="000012"/>
          <w:sz w:val="20"/>
          <w:szCs w:val="20"/>
        </w:rPr>
      </w:pPr>
    </w:p>
    <w:p w:rsidR="00874278" w:rsidRDefault="00874278" w:rsidP="00577BA0">
      <w:pPr>
        <w:autoSpaceDE w:val="0"/>
        <w:autoSpaceDN w:val="0"/>
        <w:adjustRightInd w:val="0"/>
        <w:spacing w:after="0" w:line="240" w:lineRule="auto"/>
        <w:jc w:val="both"/>
        <w:rPr>
          <w:rFonts w:ascii="Arial" w:hAnsi="Arial" w:cs="Arial"/>
          <w:color w:val="000012"/>
          <w:sz w:val="20"/>
          <w:szCs w:val="20"/>
        </w:rPr>
      </w:pPr>
    </w:p>
    <w:p w:rsidR="00874278" w:rsidRDefault="00874278" w:rsidP="00577BA0">
      <w:pPr>
        <w:autoSpaceDE w:val="0"/>
        <w:autoSpaceDN w:val="0"/>
        <w:adjustRightInd w:val="0"/>
        <w:spacing w:after="0" w:line="240" w:lineRule="auto"/>
        <w:jc w:val="both"/>
        <w:rPr>
          <w:rFonts w:ascii="Arial" w:hAnsi="Arial" w:cs="Arial"/>
          <w:color w:val="000012"/>
          <w:sz w:val="20"/>
          <w:szCs w:val="20"/>
        </w:rPr>
      </w:pPr>
    </w:p>
    <w:p w:rsidR="00874278" w:rsidRDefault="00874278" w:rsidP="00577BA0">
      <w:pPr>
        <w:autoSpaceDE w:val="0"/>
        <w:autoSpaceDN w:val="0"/>
        <w:adjustRightInd w:val="0"/>
        <w:spacing w:after="0" w:line="240" w:lineRule="auto"/>
        <w:jc w:val="both"/>
        <w:rPr>
          <w:rFonts w:ascii="Arial" w:hAnsi="Arial" w:cs="Arial"/>
          <w:color w:val="000012"/>
          <w:sz w:val="20"/>
          <w:szCs w:val="20"/>
        </w:rPr>
      </w:pPr>
    </w:p>
    <w:p w:rsidR="00874278" w:rsidRDefault="00874278" w:rsidP="00577BA0">
      <w:pPr>
        <w:autoSpaceDE w:val="0"/>
        <w:autoSpaceDN w:val="0"/>
        <w:adjustRightInd w:val="0"/>
        <w:spacing w:after="0" w:line="240" w:lineRule="auto"/>
        <w:jc w:val="both"/>
        <w:rPr>
          <w:rFonts w:ascii="Arial" w:hAnsi="Arial" w:cs="Arial"/>
          <w:color w:val="000012"/>
          <w:sz w:val="20"/>
          <w:szCs w:val="20"/>
        </w:rPr>
      </w:pPr>
    </w:p>
    <w:p w:rsidR="00874278" w:rsidRDefault="00874278" w:rsidP="00577BA0">
      <w:pPr>
        <w:autoSpaceDE w:val="0"/>
        <w:autoSpaceDN w:val="0"/>
        <w:adjustRightInd w:val="0"/>
        <w:spacing w:after="0" w:line="240" w:lineRule="auto"/>
        <w:jc w:val="both"/>
        <w:rPr>
          <w:rFonts w:ascii="Arial" w:hAnsi="Arial" w:cs="Arial"/>
          <w:color w:val="000012"/>
          <w:sz w:val="20"/>
          <w:szCs w:val="20"/>
        </w:rPr>
      </w:pPr>
    </w:p>
    <w:p w:rsidR="00874278" w:rsidRDefault="00874278" w:rsidP="00577BA0">
      <w:pPr>
        <w:autoSpaceDE w:val="0"/>
        <w:autoSpaceDN w:val="0"/>
        <w:adjustRightInd w:val="0"/>
        <w:spacing w:after="0" w:line="240" w:lineRule="auto"/>
        <w:jc w:val="both"/>
        <w:rPr>
          <w:rFonts w:ascii="Arial" w:hAnsi="Arial" w:cs="Arial"/>
          <w:color w:val="000012"/>
          <w:sz w:val="20"/>
          <w:szCs w:val="20"/>
        </w:rPr>
      </w:pPr>
    </w:p>
    <w:p w:rsidR="00874278" w:rsidRDefault="00874278" w:rsidP="00577BA0">
      <w:pPr>
        <w:autoSpaceDE w:val="0"/>
        <w:autoSpaceDN w:val="0"/>
        <w:adjustRightInd w:val="0"/>
        <w:spacing w:after="0" w:line="240" w:lineRule="auto"/>
        <w:jc w:val="both"/>
        <w:rPr>
          <w:rFonts w:ascii="Arial" w:hAnsi="Arial" w:cs="Arial"/>
          <w:color w:val="000012"/>
          <w:sz w:val="20"/>
          <w:szCs w:val="20"/>
        </w:rPr>
      </w:pPr>
    </w:p>
    <w:p w:rsidR="00394CB9" w:rsidRDefault="00394CB9" w:rsidP="00577BA0">
      <w:pPr>
        <w:autoSpaceDE w:val="0"/>
        <w:autoSpaceDN w:val="0"/>
        <w:adjustRightInd w:val="0"/>
        <w:spacing w:after="0" w:line="240" w:lineRule="auto"/>
        <w:jc w:val="both"/>
        <w:rPr>
          <w:rFonts w:ascii="Arial" w:hAnsi="Arial" w:cs="Arial"/>
          <w:color w:val="000012"/>
          <w:sz w:val="20"/>
          <w:szCs w:val="20"/>
        </w:rPr>
      </w:pPr>
    </w:p>
    <w:p w:rsidR="00874278" w:rsidRDefault="00874278" w:rsidP="00577BA0">
      <w:pPr>
        <w:autoSpaceDE w:val="0"/>
        <w:autoSpaceDN w:val="0"/>
        <w:adjustRightInd w:val="0"/>
        <w:spacing w:after="0" w:line="240" w:lineRule="auto"/>
        <w:jc w:val="both"/>
        <w:rPr>
          <w:rFonts w:ascii="Arial" w:hAnsi="Arial" w:cs="Arial"/>
          <w:color w:val="000012"/>
          <w:sz w:val="20"/>
          <w:szCs w:val="20"/>
        </w:rPr>
      </w:pPr>
    </w:p>
    <w:p w:rsidR="00874278" w:rsidRDefault="00874278" w:rsidP="00577BA0">
      <w:pPr>
        <w:autoSpaceDE w:val="0"/>
        <w:autoSpaceDN w:val="0"/>
        <w:adjustRightInd w:val="0"/>
        <w:spacing w:after="0" w:line="240" w:lineRule="auto"/>
        <w:jc w:val="both"/>
        <w:rPr>
          <w:rFonts w:ascii="Arial" w:hAnsi="Arial" w:cs="Arial"/>
          <w:color w:val="000012"/>
          <w:sz w:val="20"/>
          <w:szCs w:val="20"/>
        </w:rPr>
      </w:pPr>
    </w:p>
    <w:p w:rsidR="00874278" w:rsidRDefault="00874278" w:rsidP="00577BA0">
      <w:pPr>
        <w:autoSpaceDE w:val="0"/>
        <w:autoSpaceDN w:val="0"/>
        <w:adjustRightInd w:val="0"/>
        <w:spacing w:after="0" w:line="240" w:lineRule="auto"/>
        <w:jc w:val="both"/>
        <w:rPr>
          <w:rFonts w:ascii="Arial" w:hAnsi="Arial" w:cs="Arial"/>
          <w:color w:val="000012"/>
          <w:sz w:val="20"/>
          <w:szCs w:val="20"/>
        </w:rPr>
      </w:pPr>
    </w:p>
    <w:tbl>
      <w:tblPr>
        <w:tblStyle w:val="Grilledutableau"/>
        <w:tblW w:w="9889" w:type="dxa"/>
        <w:tblLayout w:type="fixed"/>
        <w:tblLook w:val="04A0" w:firstRow="1" w:lastRow="0" w:firstColumn="1" w:lastColumn="0" w:noHBand="0" w:noVBand="1"/>
      </w:tblPr>
      <w:tblGrid>
        <w:gridCol w:w="1668"/>
        <w:gridCol w:w="3692"/>
        <w:gridCol w:w="3395"/>
        <w:gridCol w:w="1134"/>
      </w:tblGrid>
      <w:tr w:rsidR="00B77812" w:rsidRPr="004E63FB" w:rsidTr="009C15E0">
        <w:tc>
          <w:tcPr>
            <w:tcW w:w="1668" w:type="dxa"/>
          </w:tcPr>
          <w:p w:rsidR="00B77812" w:rsidRPr="00874278" w:rsidRDefault="00B77812" w:rsidP="00874278">
            <w:pPr>
              <w:autoSpaceDE w:val="0"/>
              <w:autoSpaceDN w:val="0"/>
              <w:adjustRightInd w:val="0"/>
              <w:jc w:val="center"/>
              <w:rPr>
                <w:b/>
                <w:sz w:val="20"/>
                <w:szCs w:val="20"/>
              </w:rPr>
            </w:pPr>
            <w:r w:rsidRPr="00874278">
              <w:rPr>
                <w:b/>
                <w:sz w:val="20"/>
                <w:szCs w:val="20"/>
              </w:rPr>
              <w:lastRenderedPageBreak/>
              <w:t>Contenus</w:t>
            </w:r>
            <w:r w:rsidR="004E63FB" w:rsidRPr="00874278">
              <w:rPr>
                <w:b/>
                <w:sz w:val="20"/>
                <w:szCs w:val="20"/>
              </w:rPr>
              <w:t xml:space="preserve"> et approche</w:t>
            </w:r>
          </w:p>
        </w:tc>
        <w:tc>
          <w:tcPr>
            <w:tcW w:w="3692" w:type="dxa"/>
            <w:vAlign w:val="center"/>
          </w:tcPr>
          <w:p w:rsidR="00B77812" w:rsidRPr="00874278" w:rsidRDefault="00B77812" w:rsidP="009C15E0">
            <w:pPr>
              <w:autoSpaceDE w:val="0"/>
              <w:autoSpaceDN w:val="0"/>
              <w:adjustRightInd w:val="0"/>
              <w:jc w:val="center"/>
              <w:rPr>
                <w:b/>
                <w:sz w:val="20"/>
                <w:szCs w:val="20"/>
              </w:rPr>
            </w:pPr>
            <w:r w:rsidRPr="00874278">
              <w:rPr>
                <w:b/>
                <w:sz w:val="20"/>
                <w:szCs w:val="20"/>
              </w:rPr>
              <w:t>M1</w:t>
            </w:r>
          </w:p>
        </w:tc>
        <w:tc>
          <w:tcPr>
            <w:tcW w:w="4529" w:type="dxa"/>
            <w:gridSpan w:val="2"/>
            <w:vAlign w:val="center"/>
          </w:tcPr>
          <w:p w:rsidR="00B77812" w:rsidRPr="00874278" w:rsidRDefault="00B77812" w:rsidP="009C15E0">
            <w:pPr>
              <w:autoSpaceDE w:val="0"/>
              <w:autoSpaceDN w:val="0"/>
              <w:adjustRightInd w:val="0"/>
              <w:jc w:val="center"/>
              <w:rPr>
                <w:b/>
                <w:sz w:val="20"/>
                <w:szCs w:val="20"/>
              </w:rPr>
            </w:pPr>
            <w:r w:rsidRPr="00874278">
              <w:rPr>
                <w:b/>
                <w:sz w:val="20"/>
                <w:szCs w:val="20"/>
              </w:rPr>
              <w:t>M2</w:t>
            </w:r>
          </w:p>
        </w:tc>
      </w:tr>
      <w:tr w:rsidR="00B77812" w:rsidRPr="004E63FB" w:rsidTr="009C15E0">
        <w:tc>
          <w:tcPr>
            <w:tcW w:w="1668" w:type="dxa"/>
            <w:vAlign w:val="center"/>
          </w:tcPr>
          <w:p w:rsidR="00B77812" w:rsidRPr="009C15E0" w:rsidRDefault="00B77812" w:rsidP="009C15E0">
            <w:pPr>
              <w:autoSpaceDE w:val="0"/>
              <w:autoSpaceDN w:val="0"/>
              <w:adjustRightInd w:val="0"/>
              <w:jc w:val="center"/>
              <w:rPr>
                <w:rFonts w:cs="Calibri"/>
                <w:b/>
                <w:sz w:val="18"/>
                <w:szCs w:val="18"/>
              </w:rPr>
            </w:pPr>
            <w:r w:rsidRPr="009C15E0">
              <w:rPr>
                <w:rFonts w:cs="Calibri"/>
                <w:b/>
                <w:sz w:val="18"/>
                <w:szCs w:val="18"/>
              </w:rPr>
              <w:t>UE 1 : L’enseignant</w:t>
            </w:r>
          </w:p>
          <w:p w:rsidR="00B77812" w:rsidRPr="009C15E0" w:rsidRDefault="00B77812" w:rsidP="009C15E0">
            <w:pPr>
              <w:autoSpaceDE w:val="0"/>
              <w:autoSpaceDN w:val="0"/>
              <w:adjustRightInd w:val="0"/>
              <w:jc w:val="center"/>
              <w:rPr>
                <w:rFonts w:cs="Calibri"/>
                <w:b/>
                <w:sz w:val="18"/>
                <w:szCs w:val="18"/>
              </w:rPr>
            </w:pPr>
            <w:r w:rsidRPr="009C15E0">
              <w:rPr>
                <w:rFonts w:cs="Calibri"/>
                <w:b/>
                <w:sz w:val="18"/>
                <w:szCs w:val="18"/>
              </w:rPr>
              <w:t>concepteur de son enseignement et</w:t>
            </w:r>
          </w:p>
          <w:p w:rsidR="00B77812" w:rsidRPr="009C15E0" w:rsidRDefault="00B77812" w:rsidP="009C15E0">
            <w:pPr>
              <w:autoSpaceDE w:val="0"/>
              <w:autoSpaceDN w:val="0"/>
              <w:adjustRightInd w:val="0"/>
              <w:jc w:val="center"/>
              <w:rPr>
                <w:b/>
                <w:sz w:val="18"/>
                <w:szCs w:val="18"/>
              </w:rPr>
            </w:pPr>
            <w:r w:rsidRPr="009C15E0">
              <w:rPr>
                <w:rFonts w:cs="Calibri"/>
                <w:b/>
                <w:sz w:val="18"/>
                <w:szCs w:val="18"/>
              </w:rPr>
              <w:t>des apprentissages</w:t>
            </w:r>
          </w:p>
        </w:tc>
        <w:tc>
          <w:tcPr>
            <w:tcW w:w="3692" w:type="dxa"/>
          </w:tcPr>
          <w:p w:rsidR="00B77812" w:rsidRPr="00874278" w:rsidRDefault="00B77812" w:rsidP="002F37B7">
            <w:pPr>
              <w:autoSpaceDE w:val="0"/>
              <w:autoSpaceDN w:val="0"/>
              <w:adjustRightInd w:val="0"/>
              <w:rPr>
                <w:rFonts w:cs="Calibri"/>
                <w:sz w:val="18"/>
                <w:szCs w:val="18"/>
              </w:rPr>
            </w:pPr>
            <w:r w:rsidRPr="00874278">
              <w:rPr>
                <w:rFonts w:cs="Calibri"/>
                <w:sz w:val="18"/>
                <w:szCs w:val="18"/>
              </w:rPr>
              <w:t>- Qu’est-ce qu’apprendre ?</w:t>
            </w:r>
          </w:p>
          <w:p w:rsidR="00B77812" w:rsidRPr="00874278" w:rsidRDefault="00B77812" w:rsidP="004E63FB">
            <w:pPr>
              <w:pStyle w:val="Paragraphedeliste"/>
              <w:numPr>
                <w:ilvl w:val="0"/>
                <w:numId w:val="5"/>
              </w:numPr>
              <w:autoSpaceDE w:val="0"/>
              <w:autoSpaceDN w:val="0"/>
              <w:adjustRightInd w:val="0"/>
              <w:rPr>
                <w:rFonts w:cs="Calibri"/>
                <w:sz w:val="18"/>
                <w:szCs w:val="18"/>
              </w:rPr>
            </w:pPr>
            <w:r w:rsidRPr="00874278">
              <w:rPr>
                <w:rFonts w:cs="Calibri"/>
                <w:sz w:val="18"/>
                <w:szCs w:val="18"/>
              </w:rPr>
              <w:t>mécanismes d’apprentissage</w:t>
            </w:r>
          </w:p>
          <w:p w:rsidR="00B77812" w:rsidRPr="00874278" w:rsidRDefault="00B77812" w:rsidP="004E63FB">
            <w:pPr>
              <w:pStyle w:val="Paragraphedeliste"/>
              <w:numPr>
                <w:ilvl w:val="0"/>
                <w:numId w:val="5"/>
              </w:numPr>
              <w:autoSpaceDE w:val="0"/>
              <w:autoSpaceDN w:val="0"/>
              <w:adjustRightInd w:val="0"/>
              <w:rPr>
                <w:rFonts w:cs="Calibri"/>
                <w:sz w:val="18"/>
                <w:szCs w:val="18"/>
              </w:rPr>
            </w:pPr>
            <w:r w:rsidRPr="00874278">
              <w:rPr>
                <w:rFonts w:cs="Calibri"/>
                <w:sz w:val="18"/>
                <w:szCs w:val="18"/>
              </w:rPr>
              <w:t>évaluation des apprentissages</w:t>
            </w:r>
          </w:p>
          <w:p w:rsidR="00B77812" w:rsidRPr="00874278" w:rsidRDefault="00B77812" w:rsidP="002F37B7">
            <w:pPr>
              <w:autoSpaceDE w:val="0"/>
              <w:autoSpaceDN w:val="0"/>
              <w:adjustRightInd w:val="0"/>
              <w:rPr>
                <w:rFonts w:cs="Calibri"/>
                <w:sz w:val="18"/>
                <w:szCs w:val="18"/>
              </w:rPr>
            </w:pPr>
            <w:r w:rsidRPr="00874278">
              <w:rPr>
                <w:rFonts w:cs="Calibri"/>
                <w:sz w:val="18"/>
                <w:szCs w:val="18"/>
              </w:rPr>
              <w:t>- Motivation, apprentissages et persévérance scolaire</w:t>
            </w:r>
          </w:p>
          <w:p w:rsidR="00B77812" w:rsidRPr="00874278" w:rsidRDefault="00B77812" w:rsidP="002F37B7">
            <w:pPr>
              <w:autoSpaceDE w:val="0"/>
              <w:autoSpaceDN w:val="0"/>
              <w:adjustRightInd w:val="0"/>
              <w:rPr>
                <w:rFonts w:cs="Calibri"/>
                <w:sz w:val="18"/>
                <w:szCs w:val="18"/>
              </w:rPr>
            </w:pPr>
            <w:r w:rsidRPr="00874278">
              <w:rPr>
                <w:rFonts w:cs="Calibri"/>
                <w:sz w:val="18"/>
                <w:szCs w:val="18"/>
              </w:rPr>
              <w:t>- Développement de l’enfant (1er degré) / de l’adolescent (2nd degré)</w:t>
            </w:r>
          </w:p>
          <w:p w:rsidR="00B77812" w:rsidRPr="00874278" w:rsidRDefault="00B77812" w:rsidP="002F37B7">
            <w:pPr>
              <w:autoSpaceDE w:val="0"/>
              <w:autoSpaceDN w:val="0"/>
              <w:adjustRightInd w:val="0"/>
              <w:jc w:val="both"/>
              <w:rPr>
                <w:sz w:val="18"/>
                <w:szCs w:val="18"/>
              </w:rPr>
            </w:pPr>
            <w:r w:rsidRPr="00874278">
              <w:rPr>
                <w:rFonts w:cs="Calibri"/>
                <w:sz w:val="18"/>
                <w:szCs w:val="18"/>
              </w:rPr>
              <w:t>- Lire pour comprendre</w:t>
            </w:r>
          </w:p>
        </w:tc>
        <w:tc>
          <w:tcPr>
            <w:tcW w:w="3395" w:type="dxa"/>
            <w:vMerge w:val="restart"/>
          </w:tcPr>
          <w:p w:rsidR="00B77812" w:rsidRPr="00874278" w:rsidRDefault="00B77812" w:rsidP="00222F52">
            <w:pPr>
              <w:autoSpaceDE w:val="0"/>
              <w:autoSpaceDN w:val="0"/>
              <w:adjustRightInd w:val="0"/>
              <w:jc w:val="both"/>
              <w:rPr>
                <w:rFonts w:cs="Calibri"/>
                <w:sz w:val="18"/>
                <w:szCs w:val="18"/>
              </w:rPr>
            </w:pPr>
            <w:r w:rsidRPr="00874278">
              <w:rPr>
                <w:rFonts w:cs="Calibri"/>
                <w:sz w:val="18"/>
                <w:szCs w:val="18"/>
              </w:rPr>
              <w:t xml:space="preserve">Projet de formation sur les compétences transversales des enseignants fondé sur des allers-retours </w:t>
            </w:r>
            <w:r w:rsidR="00222F52" w:rsidRPr="00874278">
              <w:rPr>
                <w:rFonts w:cs="Calibri"/>
                <w:sz w:val="18"/>
                <w:szCs w:val="18"/>
              </w:rPr>
              <w:t>entre la « </w:t>
            </w:r>
            <w:r w:rsidRPr="00874278">
              <w:rPr>
                <w:rFonts w:cs="Calibri"/>
                <w:sz w:val="18"/>
                <w:szCs w:val="18"/>
              </w:rPr>
              <w:t>conception</w:t>
            </w:r>
            <w:r w:rsidR="00222F52" w:rsidRPr="00874278">
              <w:rPr>
                <w:rFonts w:cs="Calibri"/>
                <w:sz w:val="18"/>
                <w:szCs w:val="18"/>
              </w:rPr>
              <w:t> »</w:t>
            </w:r>
            <w:r w:rsidRPr="00874278">
              <w:rPr>
                <w:rFonts w:cs="Calibri"/>
                <w:sz w:val="18"/>
                <w:szCs w:val="18"/>
              </w:rPr>
              <w:t xml:space="preserve"> en formation</w:t>
            </w:r>
            <w:r w:rsidR="00222F52" w:rsidRPr="00874278">
              <w:rPr>
                <w:rFonts w:cs="Calibri"/>
                <w:sz w:val="18"/>
                <w:szCs w:val="18"/>
              </w:rPr>
              <w:t xml:space="preserve"> (UE1)</w:t>
            </w:r>
            <w:r w:rsidRPr="00874278">
              <w:rPr>
                <w:rFonts w:cs="Calibri"/>
                <w:sz w:val="18"/>
                <w:szCs w:val="18"/>
              </w:rPr>
              <w:t xml:space="preserve"> et </w:t>
            </w:r>
            <w:r w:rsidR="00222F52" w:rsidRPr="00874278">
              <w:rPr>
                <w:rFonts w:cs="Calibri"/>
                <w:sz w:val="18"/>
                <w:szCs w:val="18"/>
              </w:rPr>
              <w:t>l’</w:t>
            </w:r>
            <w:r w:rsidRPr="00874278">
              <w:rPr>
                <w:rFonts w:cs="Calibri"/>
                <w:sz w:val="18"/>
                <w:szCs w:val="18"/>
              </w:rPr>
              <w:t xml:space="preserve">analyse à posteriori </w:t>
            </w:r>
            <w:r w:rsidR="00222F52" w:rsidRPr="00874278">
              <w:rPr>
                <w:rFonts w:cs="Calibri"/>
                <w:sz w:val="18"/>
                <w:szCs w:val="18"/>
              </w:rPr>
              <w:t xml:space="preserve">de la pratique </w:t>
            </w:r>
            <w:r w:rsidRPr="00874278">
              <w:rPr>
                <w:rFonts w:cs="Calibri"/>
                <w:sz w:val="18"/>
                <w:szCs w:val="18"/>
              </w:rPr>
              <w:t xml:space="preserve">de </w:t>
            </w:r>
            <w:r w:rsidR="00222F52" w:rsidRPr="00874278">
              <w:rPr>
                <w:rFonts w:cs="Calibri"/>
                <w:sz w:val="18"/>
                <w:szCs w:val="18"/>
              </w:rPr>
              <w:t>« </w:t>
            </w:r>
            <w:r w:rsidRPr="00874278">
              <w:rPr>
                <w:rFonts w:cs="Calibri"/>
                <w:sz w:val="18"/>
                <w:szCs w:val="18"/>
              </w:rPr>
              <w:t>pilotage</w:t>
            </w:r>
            <w:r w:rsidR="00222F52" w:rsidRPr="00874278">
              <w:rPr>
                <w:rFonts w:cs="Calibri"/>
                <w:sz w:val="18"/>
                <w:szCs w:val="18"/>
              </w:rPr>
              <w:t> »</w:t>
            </w:r>
            <w:r w:rsidRPr="00874278">
              <w:rPr>
                <w:rFonts w:cs="Calibri"/>
                <w:sz w:val="18"/>
                <w:szCs w:val="18"/>
              </w:rPr>
              <w:t xml:space="preserve"> sur le terrain d’exercice</w:t>
            </w:r>
            <w:r w:rsidR="00222F52" w:rsidRPr="00874278">
              <w:rPr>
                <w:rFonts w:cs="Calibri"/>
                <w:sz w:val="18"/>
                <w:szCs w:val="18"/>
              </w:rPr>
              <w:t xml:space="preserve"> (UE2)</w:t>
            </w:r>
            <w:r w:rsidRPr="00874278">
              <w:rPr>
                <w:rFonts w:cs="Calibri"/>
                <w:sz w:val="18"/>
                <w:szCs w:val="18"/>
              </w:rPr>
              <w:t> :</w:t>
            </w:r>
          </w:p>
          <w:p w:rsidR="00B77812" w:rsidRPr="00874278" w:rsidRDefault="00B77812" w:rsidP="00222F52">
            <w:pPr>
              <w:autoSpaceDE w:val="0"/>
              <w:autoSpaceDN w:val="0"/>
              <w:adjustRightInd w:val="0"/>
              <w:jc w:val="both"/>
              <w:rPr>
                <w:rFonts w:cs="Calibri"/>
                <w:sz w:val="18"/>
                <w:szCs w:val="18"/>
              </w:rPr>
            </w:pPr>
          </w:p>
          <w:p w:rsidR="00B77812" w:rsidRPr="00412447" w:rsidRDefault="00B77812" w:rsidP="00412447">
            <w:pPr>
              <w:pStyle w:val="Paragraphedeliste"/>
              <w:numPr>
                <w:ilvl w:val="0"/>
                <w:numId w:val="15"/>
              </w:numPr>
              <w:autoSpaceDE w:val="0"/>
              <w:autoSpaceDN w:val="0"/>
              <w:adjustRightInd w:val="0"/>
              <w:jc w:val="both"/>
              <w:rPr>
                <w:rFonts w:cs="Calibri"/>
                <w:sz w:val="18"/>
                <w:szCs w:val="18"/>
              </w:rPr>
            </w:pPr>
            <w:r w:rsidRPr="00412447">
              <w:rPr>
                <w:rFonts w:cs="Calibri"/>
                <w:sz w:val="18"/>
                <w:szCs w:val="18"/>
              </w:rPr>
              <w:t>La posture de l’enseignant : gestes et voix</w:t>
            </w:r>
          </w:p>
          <w:p w:rsidR="00B77812" w:rsidRPr="00412447" w:rsidRDefault="00B77812" w:rsidP="00412447">
            <w:pPr>
              <w:pStyle w:val="Paragraphedeliste"/>
              <w:numPr>
                <w:ilvl w:val="0"/>
                <w:numId w:val="15"/>
              </w:numPr>
              <w:autoSpaceDE w:val="0"/>
              <w:autoSpaceDN w:val="0"/>
              <w:adjustRightInd w:val="0"/>
              <w:jc w:val="both"/>
              <w:rPr>
                <w:rFonts w:cs="Calibri"/>
                <w:sz w:val="18"/>
                <w:szCs w:val="18"/>
              </w:rPr>
            </w:pPr>
            <w:r w:rsidRPr="00412447">
              <w:rPr>
                <w:rFonts w:cs="Calibri"/>
                <w:sz w:val="18"/>
                <w:szCs w:val="18"/>
              </w:rPr>
              <w:t>La gestion de la classe</w:t>
            </w:r>
          </w:p>
          <w:p w:rsidR="00B77812" w:rsidRPr="00412447" w:rsidRDefault="00B77812" w:rsidP="00412447">
            <w:pPr>
              <w:pStyle w:val="Paragraphedeliste"/>
              <w:numPr>
                <w:ilvl w:val="0"/>
                <w:numId w:val="15"/>
              </w:numPr>
              <w:autoSpaceDE w:val="0"/>
              <w:autoSpaceDN w:val="0"/>
              <w:adjustRightInd w:val="0"/>
              <w:jc w:val="both"/>
              <w:rPr>
                <w:rFonts w:cs="Calibri"/>
                <w:sz w:val="18"/>
                <w:szCs w:val="18"/>
              </w:rPr>
            </w:pPr>
            <w:r w:rsidRPr="00412447">
              <w:rPr>
                <w:rFonts w:cs="Calibri"/>
                <w:sz w:val="18"/>
                <w:szCs w:val="18"/>
              </w:rPr>
              <w:t>L’évaluation des apprentissages des élèves</w:t>
            </w:r>
          </w:p>
          <w:p w:rsidR="00B77812" w:rsidRPr="00412447" w:rsidRDefault="00B77812" w:rsidP="00412447">
            <w:pPr>
              <w:pStyle w:val="Paragraphedeliste"/>
              <w:numPr>
                <w:ilvl w:val="0"/>
                <w:numId w:val="15"/>
              </w:numPr>
              <w:autoSpaceDE w:val="0"/>
              <w:autoSpaceDN w:val="0"/>
              <w:adjustRightInd w:val="0"/>
              <w:jc w:val="both"/>
              <w:rPr>
                <w:rFonts w:cs="Calibri"/>
                <w:sz w:val="18"/>
                <w:szCs w:val="18"/>
              </w:rPr>
            </w:pPr>
            <w:r w:rsidRPr="00412447">
              <w:rPr>
                <w:rFonts w:cs="Calibri"/>
                <w:sz w:val="18"/>
                <w:szCs w:val="18"/>
              </w:rPr>
              <w:t>La différenciation : prendre  en compte la diversité des élèves</w:t>
            </w:r>
          </w:p>
          <w:p w:rsidR="00B77812" w:rsidRPr="00412447" w:rsidRDefault="00B77812" w:rsidP="00412447">
            <w:pPr>
              <w:pStyle w:val="Paragraphedeliste"/>
              <w:numPr>
                <w:ilvl w:val="0"/>
                <w:numId w:val="15"/>
              </w:numPr>
              <w:autoSpaceDE w:val="0"/>
              <w:autoSpaceDN w:val="0"/>
              <w:adjustRightInd w:val="0"/>
              <w:jc w:val="both"/>
              <w:rPr>
                <w:rFonts w:cs="Calibri"/>
                <w:sz w:val="18"/>
                <w:szCs w:val="18"/>
              </w:rPr>
            </w:pPr>
            <w:r w:rsidRPr="00412447">
              <w:rPr>
                <w:rFonts w:cs="Calibri"/>
                <w:sz w:val="18"/>
                <w:szCs w:val="18"/>
              </w:rPr>
              <w:t>Le climat scolaire</w:t>
            </w:r>
          </w:p>
        </w:tc>
        <w:tc>
          <w:tcPr>
            <w:tcW w:w="1134" w:type="dxa"/>
            <w:vMerge w:val="restart"/>
            <w:shd w:val="clear" w:color="auto" w:fill="95B3D7" w:themeFill="accent1" w:themeFillTint="99"/>
            <w:textDirection w:val="tbRl"/>
            <w:vAlign w:val="center"/>
          </w:tcPr>
          <w:p w:rsidR="00B77812" w:rsidRPr="004E63FB" w:rsidRDefault="00B77812" w:rsidP="00874278">
            <w:pPr>
              <w:autoSpaceDE w:val="0"/>
              <w:autoSpaceDN w:val="0"/>
              <w:adjustRightInd w:val="0"/>
              <w:ind w:left="113" w:right="113"/>
              <w:jc w:val="center"/>
              <w:rPr>
                <w:rFonts w:cs="Calibri"/>
                <w:sz w:val="20"/>
                <w:szCs w:val="20"/>
              </w:rPr>
            </w:pPr>
            <w:r w:rsidRPr="00222F52">
              <w:rPr>
                <w:rFonts w:cs="Calibri"/>
                <w:sz w:val="24"/>
                <w:szCs w:val="20"/>
              </w:rPr>
              <w:t>Fondements éthiques et identité professionnelle</w:t>
            </w:r>
          </w:p>
        </w:tc>
      </w:tr>
      <w:tr w:rsidR="00B77812" w:rsidRPr="004E63FB" w:rsidTr="009C15E0">
        <w:trPr>
          <w:trHeight w:val="1731"/>
        </w:trPr>
        <w:tc>
          <w:tcPr>
            <w:tcW w:w="1668" w:type="dxa"/>
            <w:vAlign w:val="center"/>
          </w:tcPr>
          <w:p w:rsidR="00B77812" w:rsidRPr="009C15E0" w:rsidRDefault="00B77812" w:rsidP="009C15E0">
            <w:pPr>
              <w:autoSpaceDE w:val="0"/>
              <w:autoSpaceDN w:val="0"/>
              <w:adjustRightInd w:val="0"/>
              <w:jc w:val="center"/>
              <w:rPr>
                <w:rFonts w:cs="Calibri"/>
                <w:b/>
                <w:sz w:val="18"/>
                <w:szCs w:val="18"/>
              </w:rPr>
            </w:pPr>
            <w:r w:rsidRPr="009C15E0">
              <w:rPr>
                <w:rFonts w:cs="Calibri"/>
                <w:b/>
                <w:sz w:val="18"/>
                <w:szCs w:val="18"/>
              </w:rPr>
              <w:t>UE 2 : L’enseignant pilote de son</w:t>
            </w:r>
          </w:p>
          <w:p w:rsidR="00B77812" w:rsidRPr="009C15E0" w:rsidRDefault="00B77812" w:rsidP="009C15E0">
            <w:pPr>
              <w:autoSpaceDE w:val="0"/>
              <w:autoSpaceDN w:val="0"/>
              <w:adjustRightInd w:val="0"/>
              <w:jc w:val="center"/>
              <w:rPr>
                <w:b/>
                <w:sz w:val="18"/>
                <w:szCs w:val="18"/>
              </w:rPr>
            </w:pPr>
            <w:r w:rsidRPr="009C15E0">
              <w:rPr>
                <w:rFonts w:cs="Calibri"/>
                <w:b/>
                <w:sz w:val="18"/>
                <w:szCs w:val="18"/>
              </w:rPr>
              <w:t>enseignement et des apprentissages</w:t>
            </w:r>
          </w:p>
        </w:tc>
        <w:tc>
          <w:tcPr>
            <w:tcW w:w="3692" w:type="dxa"/>
          </w:tcPr>
          <w:p w:rsidR="00B77812" w:rsidRPr="00874278" w:rsidRDefault="00B77812" w:rsidP="002F37B7">
            <w:pPr>
              <w:autoSpaceDE w:val="0"/>
              <w:autoSpaceDN w:val="0"/>
              <w:adjustRightInd w:val="0"/>
              <w:rPr>
                <w:rFonts w:cs="Calibri"/>
                <w:sz w:val="18"/>
                <w:szCs w:val="18"/>
              </w:rPr>
            </w:pPr>
            <w:r w:rsidRPr="00874278">
              <w:rPr>
                <w:rFonts w:cs="Calibri"/>
                <w:sz w:val="18"/>
                <w:szCs w:val="18"/>
              </w:rPr>
              <w:t>- Diversité, mixités et inégalités de réussite</w:t>
            </w:r>
          </w:p>
          <w:p w:rsidR="00B77812" w:rsidRPr="00874278" w:rsidRDefault="00B77812" w:rsidP="00222F52">
            <w:pPr>
              <w:autoSpaceDE w:val="0"/>
              <w:autoSpaceDN w:val="0"/>
              <w:adjustRightInd w:val="0"/>
              <w:rPr>
                <w:rFonts w:cs="Calibri"/>
                <w:sz w:val="18"/>
                <w:szCs w:val="18"/>
              </w:rPr>
            </w:pPr>
            <w:r w:rsidRPr="00874278">
              <w:rPr>
                <w:rFonts w:cs="Calibri"/>
                <w:sz w:val="18"/>
                <w:szCs w:val="18"/>
              </w:rPr>
              <w:t>- Difficultés et grande difficultés scolaires</w:t>
            </w:r>
          </w:p>
          <w:p w:rsidR="00222F52" w:rsidRPr="00874278" w:rsidRDefault="00222F52" w:rsidP="004E63FB">
            <w:pPr>
              <w:pStyle w:val="Paragraphedeliste"/>
              <w:numPr>
                <w:ilvl w:val="0"/>
                <w:numId w:val="6"/>
              </w:numPr>
              <w:autoSpaceDE w:val="0"/>
              <w:autoSpaceDN w:val="0"/>
              <w:adjustRightInd w:val="0"/>
              <w:rPr>
                <w:rFonts w:cs="Calibri"/>
                <w:sz w:val="18"/>
                <w:szCs w:val="18"/>
              </w:rPr>
            </w:pPr>
            <w:r w:rsidRPr="00874278">
              <w:rPr>
                <w:rFonts w:cs="Calibri"/>
                <w:sz w:val="18"/>
                <w:szCs w:val="18"/>
              </w:rPr>
              <w:t>Facteurs</w:t>
            </w:r>
          </w:p>
          <w:p w:rsidR="00B77812" w:rsidRPr="00874278" w:rsidRDefault="00B77812" w:rsidP="004E63FB">
            <w:pPr>
              <w:pStyle w:val="Paragraphedeliste"/>
              <w:numPr>
                <w:ilvl w:val="0"/>
                <w:numId w:val="6"/>
              </w:numPr>
              <w:autoSpaceDE w:val="0"/>
              <w:autoSpaceDN w:val="0"/>
              <w:adjustRightInd w:val="0"/>
              <w:rPr>
                <w:rFonts w:cs="Calibri"/>
                <w:sz w:val="18"/>
                <w:szCs w:val="18"/>
              </w:rPr>
            </w:pPr>
            <w:r w:rsidRPr="00874278">
              <w:rPr>
                <w:rFonts w:cs="Calibri"/>
                <w:sz w:val="18"/>
                <w:szCs w:val="18"/>
              </w:rPr>
              <w:t>Prise en compte dans la classe</w:t>
            </w:r>
            <w:r w:rsidR="00222F52" w:rsidRPr="00874278">
              <w:rPr>
                <w:rFonts w:cs="Calibri"/>
                <w:sz w:val="18"/>
                <w:szCs w:val="18"/>
              </w:rPr>
              <w:t> :</w:t>
            </w:r>
            <w:r w:rsidRPr="00874278">
              <w:rPr>
                <w:rFonts w:cs="Calibri"/>
                <w:sz w:val="18"/>
                <w:szCs w:val="18"/>
              </w:rPr>
              <w:t xml:space="preserve"> </w:t>
            </w:r>
            <w:r w:rsidR="00222F52" w:rsidRPr="00874278">
              <w:rPr>
                <w:rFonts w:cs="Calibri"/>
                <w:sz w:val="18"/>
                <w:szCs w:val="18"/>
              </w:rPr>
              <w:t xml:space="preserve">la </w:t>
            </w:r>
            <w:r w:rsidRPr="00874278">
              <w:rPr>
                <w:rFonts w:cs="Calibri"/>
                <w:sz w:val="18"/>
                <w:szCs w:val="18"/>
              </w:rPr>
              <w:t>différenciation/</w:t>
            </w:r>
            <w:r w:rsidR="00222F52" w:rsidRPr="00874278">
              <w:rPr>
                <w:rFonts w:cs="Calibri"/>
                <w:sz w:val="18"/>
                <w:szCs w:val="18"/>
              </w:rPr>
              <w:t xml:space="preserve"> l’</w:t>
            </w:r>
            <w:r w:rsidRPr="00874278">
              <w:rPr>
                <w:rFonts w:cs="Calibri"/>
                <w:sz w:val="18"/>
                <w:szCs w:val="18"/>
              </w:rPr>
              <w:t>adaptation</w:t>
            </w:r>
          </w:p>
          <w:p w:rsidR="00B77812" w:rsidRPr="00874278" w:rsidRDefault="00B77812" w:rsidP="004E63FB">
            <w:pPr>
              <w:pStyle w:val="Paragraphedeliste"/>
              <w:numPr>
                <w:ilvl w:val="0"/>
                <w:numId w:val="6"/>
              </w:numPr>
              <w:autoSpaceDE w:val="0"/>
              <w:autoSpaceDN w:val="0"/>
              <w:adjustRightInd w:val="0"/>
              <w:jc w:val="both"/>
              <w:rPr>
                <w:sz w:val="18"/>
                <w:szCs w:val="18"/>
              </w:rPr>
            </w:pPr>
            <w:r w:rsidRPr="00874278">
              <w:rPr>
                <w:rFonts w:cs="Calibri"/>
                <w:sz w:val="18"/>
                <w:szCs w:val="18"/>
              </w:rPr>
              <w:t>dispositifs institutionnels d’aide</w:t>
            </w:r>
          </w:p>
        </w:tc>
        <w:tc>
          <w:tcPr>
            <w:tcW w:w="3395" w:type="dxa"/>
            <w:vMerge/>
          </w:tcPr>
          <w:p w:rsidR="00B77812" w:rsidRPr="00874278" w:rsidRDefault="00B77812" w:rsidP="00B77812">
            <w:pPr>
              <w:pStyle w:val="Paragraphedeliste"/>
              <w:autoSpaceDE w:val="0"/>
              <w:autoSpaceDN w:val="0"/>
              <w:adjustRightInd w:val="0"/>
              <w:ind w:left="405"/>
              <w:rPr>
                <w:rFonts w:cs="Calibri"/>
                <w:sz w:val="18"/>
                <w:szCs w:val="18"/>
              </w:rPr>
            </w:pPr>
          </w:p>
        </w:tc>
        <w:tc>
          <w:tcPr>
            <w:tcW w:w="1134" w:type="dxa"/>
            <w:vMerge/>
            <w:shd w:val="clear" w:color="auto" w:fill="95B3D7" w:themeFill="accent1" w:themeFillTint="99"/>
          </w:tcPr>
          <w:p w:rsidR="00B77812" w:rsidRPr="004E63FB" w:rsidRDefault="00B77812" w:rsidP="002F37B7">
            <w:pPr>
              <w:autoSpaceDE w:val="0"/>
              <w:autoSpaceDN w:val="0"/>
              <w:adjustRightInd w:val="0"/>
              <w:rPr>
                <w:rFonts w:cs="Calibri"/>
                <w:sz w:val="20"/>
                <w:szCs w:val="20"/>
              </w:rPr>
            </w:pPr>
          </w:p>
        </w:tc>
      </w:tr>
      <w:tr w:rsidR="004E63FB" w:rsidRPr="004E63FB" w:rsidTr="009C15E0">
        <w:tc>
          <w:tcPr>
            <w:tcW w:w="1668" w:type="dxa"/>
            <w:vAlign w:val="center"/>
          </w:tcPr>
          <w:p w:rsidR="00B77812" w:rsidRPr="009C15E0" w:rsidRDefault="00B77812" w:rsidP="009C15E0">
            <w:pPr>
              <w:autoSpaceDE w:val="0"/>
              <w:autoSpaceDN w:val="0"/>
              <w:adjustRightInd w:val="0"/>
              <w:jc w:val="center"/>
              <w:rPr>
                <w:rFonts w:cs="Calibri"/>
                <w:b/>
                <w:sz w:val="18"/>
                <w:szCs w:val="18"/>
              </w:rPr>
            </w:pPr>
            <w:r w:rsidRPr="009C15E0">
              <w:rPr>
                <w:rFonts w:cs="Calibri"/>
                <w:b/>
                <w:sz w:val="18"/>
                <w:szCs w:val="18"/>
              </w:rPr>
              <w:t>UE3 : L’enseignant acteur de la</w:t>
            </w:r>
          </w:p>
          <w:p w:rsidR="00B77812" w:rsidRPr="009C15E0" w:rsidRDefault="00B77812" w:rsidP="009C15E0">
            <w:pPr>
              <w:autoSpaceDE w:val="0"/>
              <w:autoSpaceDN w:val="0"/>
              <w:adjustRightInd w:val="0"/>
              <w:jc w:val="center"/>
              <w:rPr>
                <w:b/>
                <w:sz w:val="18"/>
                <w:szCs w:val="18"/>
              </w:rPr>
            </w:pPr>
            <w:r w:rsidRPr="009C15E0">
              <w:rPr>
                <w:rFonts w:cs="Calibri"/>
                <w:b/>
                <w:sz w:val="18"/>
                <w:szCs w:val="18"/>
              </w:rPr>
              <w:t>communauté éducative</w:t>
            </w:r>
          </w:p>
        </w:tc>
        <w:tc>
          <w:tcPr>
            <w:tcW w:w="3692" w:type="dxa"/>
          </w:tcPr>
          <w:p w:rsidR="00B77812" w:rsidRPr="00874278" w:rsidRDefault="00B77812" w:rsidP="002F37B7">
            <w:pPr>
              <w:autoSpaceDE w:val="0"/>
              <w:autoSpaceDN w:val="0"/>
              <w:adjustRightInd w:val="0"/>
              <w:rPr>
                <w:rFonts w:cs="Calibri"/>
                <w:sz w:val="18"/>
                <w:szCs w:val="18"/>
              </w:rPr>
            </w:pPr>
            <w:r w:rsidRPr="00874278">
              <w:rPr>
                <w:rFonts w:cs="Calibri"/>
                <w:sz w:val="18"/>
                <w:szCs w:val="18"/>
              </w:rPr>
              <w:t xml:space="preserve">- </w:t>
            </w:r>
            <w:r w:rsidR="00222F52" w:rsidRPr="00874278">
              <w:rPr>
                <w:rFonts w:cs="Calibri"/>
                <w:sz w:val="18"/>
                <w:szCs w:val="18"/>
              </w:rPr>
              <w:t>Comprendre l’</w:t>
            </w:r>
            <w:r w:rsidRPr="00874278">
              <w:rPr>
                <w:rFonts w:cs="Calibri"/>
                <w:sz w:val="18"/>
                <w:szCs w:val="18"/>
              </w:rPr>
              <w:t>École/</w:t>
            </w:r>
            <w:r w:rsidR="00222F52" w:rsidRPr="00874278">
              <w:rPr>
                <w:rFonts w:cs="Calibri"/>
                <w:sz w:val="18"/>
                <w:szCs w:val="18"/>
              </w:rPr>
              <w:t>l’</w:t>
            </w:r>
            <w:r w:rsidRPr="00874278">
              <w:rPr>
                <w:rFonts w:cs="Calibri"/>
                <w:sz w:val="18"/>
                <w:szCs w:val="18"/>
              </w:rPr>
              <w:t>EPLE :</w:t>
            </w:r>
          </w:p>
          <w:p w:rsidR="00B77812" w:rsidRPr="00333136" w:rsidRDefault="00222F52" w:rsidP="00333136">
            <w:pPr>
              <w:pStyle w:val="Paragraphedeliste"/>
              <w:numPr>
                <w:ilvl w:val="0"/>
                <w:numId w:val="10"/>
              </w:numPr>
              <w:autoSpaceDE w:val="0"/>
              <w:autoSpaceDN w:val="0"/>
              <w:adjustRightInd w:val="0"/>
              <w:rPr>
                <w:rFonts w:cs="Calibri"/>
                <w:sz w:val="18"/>
                <w:szCs w:val="18"/>
              </w:rPr>
            </w:pPr>
            <w:r w:rsidRPr="00874278">
              <w:rPr>
                <w:rFonts w:cs="Symbol"/>
                <w:sz w:val="18"/>
                <w:szCs w:val="18"/>
              </w:rPr>
              <w:t>Analyse du c</w:t>
            </w:r>
            <w:r w:rsidR="00B77812" w:rsidRPr="00874278">
              <w:rPr>
                <w:rFonts w:cs="Calibri"/>
                <w:sz w:val="18"/>
                <w:szCs w:val="18"/>
              </w:rPr>
              <w:t>ontexte/</w:t>
            </w:r>
            <w:r w:rsidRPr="00874278">
              <w:rPr>
                <w:rFonts w:cs="Calibri"/>
                <w:sz w:val="18"/>
                <w:szCs w:val="18"/>
              </w:rPr>
              <w:t>organisation/</w:t>
            </w:r>
            <w:r w:rsidR="00B77812" w:rsidRPr="00874278">
              <w:rPr>
                <w:rFonts w:cs="Calibri"/>
                <w:sz w:val="18"/>
                <w:szCs w:val="18"/>
              </w:rPr>
              <w:t>instances</w:t>
            </w:r>
            <w:r w:rsidR="00333136">
              <w:rPr>
                <w:rFonts w:cs="Calibri"/>
                <w:sz w:val="18"/>
                <w:szCs w:val="18"/>
              </w:rPr>
              <w:t xml:space="preserve"> </w:t>
            </w:r>
            <w:r w:rsidR="00B77812" w:rsidRPr="00333136">
              <w:rPr>
                <w:rFonts w:cs="Calibri"/>
                <w:sz w:val="18"/>
                <w:szCs w:val="18"/>
              </w:rPr>
              <w:t>/fonctionnement</w:t>
            </w:r>
          </w:p>
          <w:p w:rsidR="00B77812" w:rsidRPr="00874278" w:rsidRDefault="00B77812" w:rsidP="00222F52">
            <w:pPr>
              <w:pStyle w:val="Paragraphedeliste"/>
              <w:numPr>
                <w:ilvl w:val="0"/>
                <w:numId w:val="10"/>
              </w:numPr>
              <w:autoSpaceDE w:val="0"/>
              <w:autoSpaceDN w:val="0"/>
              <w:adjustRightInd w:val="0"/>
              <w:rPr>
                <w:rFonts w:cs="Calibri"/>
                <w:sz w:val="18"/>
                <w:szCs w:val="18"/>
              </w:rPr>
            </w:pPr>
            <w:r w:rsidRPr="00874278">
              <w:rPr>
                <w:rFonts w:cs="Calibri"/>
                <w:sz w:val="18"/>
                <w:szCs w:val="18"/>
              </w:rPr>
              <w:t>Projet et politique éducative – Action éducativ</w:t>
            </w:r>
            <w:r w:rsidR="00412447">
              <w:rPr>
                <w:rFonts w:cs="Calibri"/>
                <w:sz w:val="18"/>
                <w:szCs w:val="18"/>
              </w:rPr>
              <w:t>e et pédagogique des acteurs de l’école</w:t>
            </w:r>
          </w:p>
          <w:p w:rsidR="00B77812" w:rsidRPr="00874278" w:rsidRDefault="00B77812" w:rsidP="002F37B7">
            <w:pPr>
              <w:autoSpaceDE w:val="0"/>
              <w:autoSpaceDN w:val="0"/>
              <w:adjustRightInd w:val="0"/>
              <w:rPr>
                <w:rFonts w:cs="Calibri"/>
                <w:sz w:val="18"/>
                <w:szCs w:val="18"/>
              </w:rPr>
            </w:pPr>
            <w:r w:rsidRPr="00874278">
              <w:rPr>
                <w:rFonts w:cs="Calibri"/>
                <w:sz w:val="18"/>
                <w:szCs w:val="18"/>
              </w:rPr>
              <w:t>- École-famille et coéducation</w:t>
            </w:r>
          </w:p>
          <w:p w:rsidR="00B77812" w:rsidRPr="00874278" w:rsidRDefault="00B77812" w:rsidP="002F37B7">
            <w:pPr>
              <w:autoSpaceDE w:val="0"/>
              <w:autoSpaceDN w:val="0"/>
              <w:adjustRightInd w:val="0"/>
              <w:rPr>
                <w:rFonts w:cs="Calibri"/>
                <w:sz w:val="18"/>
                <w:szCs w:val="18"/>
              </w:rPr>
            </w:pPr>
            <w:r w:rsidRPr="00874278">
              <w:rPr>
                <w:rFonts w:cs="Calibri"/>
                <w:sz w:val="18"/>
                <w:szCs w:val="18"/>
              </w:rPr>
              <w:t>- Parcours de l’élève</w:t>
            </w:r>
          </w:p>
          <w:p w:rsidR="00B77812" w:rsidRPr="00412447" w:rsidRDefault="00222F52" w:rsidP="00412447">
            <w:pPr>
              <w:pStyle w:val="Paragraphedeliste"/>
              <w:numPr>
                <w:ilvl w:val="0"/>
                <w:numId w:val="13"/>
              </w:numPr>
              <w:autoSpaceDE w:val="0"/>
              <w:autoSpaceDN w:val="0"/>
              <w:adjustRightInd w:val="0"/>
              <w:rPr>
                <w:rFonts w:cs="Calibri"/>
                <w:sz w:val="18"/>
                <w:szCs w:val="18"/>
              </w:rPr>
            </w:pPr>
            <w:r w:rsidRPr="00412447">
              <w:rPr>
                <w:rFonts w:cs="Symbol"/>
                <w:sz w:val="18"/>
                <w:szCs w:val="18"/>
              </w:rPr>
              <w:t>C</w:t>
            </w:r>
            <w:r w:rsidR="00B77812" w:rsidRPr="00412447">
              <w:rPr>
                <w:rFonts w:cs="Calibri"/>
                <w:sz w:val="18"/>
                <w:szCs w:val="18"/>
              </w:rPr>
              <w:t>ontinuité des apprentissages (ruptures, cycle 3…) - Prévention du décrochage</w:t>
            </w:r>
          </w:p>
          <w:p w:rsidR="00B77812" w:rsidRPr="00412447" w:rsidRDefault="00222F52" w:rsidP="00412447">
            <w:pPr>
              <w:pStyle w:val="Paragraphedeliste"/>
              <w:numPr>
                <w:ilvl w:val="0"/>
                <w:numId w:val="13"/>
              </w:numPr>
              <w:autoSpaceDE w:val="0"/>
              <w:autoSpaceDN w:val="0"/>
              <w:adjustRightInd w:val="0"/>
              <w:jc w:val="both"/>
              <w:rPr>
                <w:sz w:val="18"/>
                <w:szCs w:val="18"/>
              </w:rPr>
            </w:pPr>
            <w:r w:rsidRPr="00412447">
              <w:rPr>
                <w:rFonts w:cs="Symbol"/>
                <w:sz w:val="18"/>
                <w:szCs w:val="18"/>
              </w:rPr>
              <w:t xml:space="preserve">L’école </w:t>
            </w:r>
            <w:r w:rsidRPr="00412447">
              <w:rPr>
                <w:rFonts w:cs="Calibri"/>
                <w:sz w:val="18"/>
                <w:szCs w:val="18"/>
              </w:rPr>
              <w:t>m</w:t>
            </w:r>
            <w:r w:rsidR="00B77812" w:rsidRPr="00412447">
              <w:rPr>
                <w:rFonts w:cs="Calibri"/>
                <w:sz w:val="18"/>
                <w:szCs w:val="18"/>
              </w:rPr>
              <w:t>aternelle (1er degré) /</w:t>
            </w:r>
            <w:r w:rsidRPr="00412447">
              <w:rPr>
                <w:rFonts w:cs="Calibri"/>
                <w:sz w:val="18"/>
                <w:szCs w:val="18"/>
              </w:rPr>
              <w:t>L’o</w:t>
            </w:r>
            <w:r w:rsidR="00B77812" w:rsidRPr="00412447">
              <w:rPr>
                <w:rFonts w:cs="Calibri"/>
                <w:sz w:val="18"/>
                <w:szCs w:val="18"/>
              </w:rPr>
              <w:t>rientation</w:t>
            </w:r>
            <w:r w:rsidRPr="00412447">
              <w:rPr>
                <w:rFonts w:cs="Calibri"/>
                <w:sz w:val="18"/>
                <w:szCs w:val="18"/>
              </w:rPr>
              <w:t xml:space="preserve"> scolaire</w:t>
            </w:r>
            <w:r w:rsidR="00B77812" w:rsidRPr="00412447">
              <w:rPr>
                <w:rFonts w:cs="Calibri"/>
                <w:sz w:val="18"/>
                <w:szCs w:val="18"/>
              </w:rPr>
              <w:t xml:space="preserve"> (2nd d</w:t>
            </w:r>
            <w:r w:rsidR="00B77812" w:rsidRPr="00412447">
              <w:rPr>
                <w:rFonts w:cs="Calibri"/>
                <w:i/>
                <w:sz w:val="18"/>
                <w:szCs w:val="18"/>
              </w:rPr>
              <w:t>e</w:t>
            </w:r>
            <w:r w:rsidR="00B77812" w:rsidRPr="00412447">
              <w:rPr>
                <w:rFonts w:cs="Calibri"/>
                <w:sz w:val="18"/>
                <w:szCs w:val="18"/>
              </w:rPr>
              <w:t>gré)</w:t>
            </w:r>
          </w:p>
        </w:tc>
        <w:tc>
          <w:tcPr>
            <w:tcW w:w="3395" w:type="dxa"/>
          </w:tcPr>
          <w:p w:rsidR="004E63FB" w:rsidRPr="00874278" w:rsidRDefault="00222F52" w:rsidP="00B77812">
            <w:pPr>
              <w:autoSpaceDE w:val="0"/>
              <w:autoSpaceDN w:val="0"/>
              <w:adjustRightInd w:val="0"/>
              <w:rPr>
                <w:sz w:val="18"/>
                <w:szCs w:val="18"/>
              </w:rPr>
            </w:pPr>
            <w:r w:rsidRPr="00874278">
              <w:rPr>
                <w:sz w:val="18"/>
                <w:szCs w:val="18"/>
              </w:rPr>
              <w:t>E</w:t>
            </w:r>
            <w:r w:rsidR="00B77812" w:rsidRPr="00874278">
              <w:rPr>
                <w:rFonts w:cs="Calibri"/>
                <w:sz w:val="18"/>
                <w:szCs w:val="18"/>
              </w:rPr>
              <w:t xml:space="preserve">xpérience en formation du travail au sein d’une équipe pédagogique. </w:t>
            </w:r>
            <w:r w:rsidR="00B77812" w:rsidRPr="00874278">
              <w:rPr>
                <w:sz w:val="18"/>
                <w:szCs w:val="18"/>
              </w:rPr>
              <w:t xml:space="preserve"> </w:t>
            </w:r>
          </w:p>
          <w:p w:rsidR="004E63FB" w:rsidRPr="00874278" w:rsidRDefault="004E63FB" w:rsidP="00B77812">
            <w:pPr>
              <w:autoSpaceDE w:val="0"/>
              <w:autoSpaceDN w:val="0"/>
              <w:adjustRightInd w:val="0"/>
              <w:rPr>
                <w:sz w:val="18"/>
                <w:szCs w:val="18"/>
              </w:rPr>
            </w:pPr>
          </w:p>
          <w:p w:rsidR="00B77812" w:rsidRPr="00874278" w:rsidRDefault="00B77812" w:rsidP="004E63FB">
            <w:pPr>
              <w:autoSpaceDE w:val="0"/>
              <w:autoSpaceDN w:val="0"/>
              <w:adjustRightInd w:val="0"/>
              <w:rPr>
                <w:rFonts w:cs="Calibri"/>
                <w:sz w:val="18"/>
                <w:szCs w:val="18"/>
              </w:rPr>
            </w:pPr>
            <w:r w:rsidRPr="00874278">
              <w:rPr>
                <w:rFonts w:cs="Calibri"/>
                <w:sz w:val="18"/>
                <w:szCs w:val="18"/>
              </w:rPr>
              <w:t>Initiation à la démarche de projet interdisciplinaire</w:t>
            </w:r>
            <w:r w:rsidR="004E63FB" w:rsidRPr="00874278">
              <w:rPr>
                <w:rFonts w:cs="Calibri"/>
                <w:sz w:val="18"/>
                <w:szCs w:val="18"/>
              </w:rPr>
              <w:t xml:space="preserve"> </w:t>
            </w:r>
            <w:r w:rsidRPr="00874278">
              <w:rPr>
                <w:sz w:val="18"/>
                <w:szCs w:val="18"/>
              </w:rPr>
              <w:t>permet</w:t>
            </w:r>
            <w:r w:rsidR="004E63FB" w:rsidRPr="00874278">
              <w:rPr>
                <w:sz w:val="18"/>
                <w:szCs w:val="18"/>
              </w:rPr>
              <w:t xml:space="preserve">tant </w:t>
            </w:r>
            <w:r w:rsidRPr="00874278">
              <w:rPr>
                <w:sz w:val="18"/>
                <w:szCs w:val="18"/>
              </w:rPr>
              <w:t>d’appréhender les thématiques suivantes :</w:t>
            </w:r>
          </w:p>
          <w:p w:rsidR="00222F52" w:rsidRPr="00874278" w:rsidRDefault="00222F52" w:rsidP="00222F52">
            <w:pPr>
              <w:pStyle w:val="Paragraphedeliste"/>
              <w:numPr>
                <w:ilvl w:val="0"/>
                <w:numId w:val="11"/>
              </w:numPr>
              <w:autoSpaceDE w:val="0"/>
              <w:autoSpaceDN w:val="0"/>
              <w:adjustRightInd w:val="0"/>
              <w:jc w:val="both"/>
              <w:rPr>
                <w:sz w:val="18"/>
                <w:szCs w:val="18"/>
              </w:rPr>
            </w:pPr>
            <w:r w:rsidRPr="00874278">
              <w:rPr>
                <w:sz w:val="18"/>
                <w:szCs w:val="18"/>
              </w:rPr>
              <w:t>La formation de la personne et du citoyen</w:t>
            </w:r>
          </w:p>
          <w:p w:rsidR="00B77812" w:rsidRPr="00874278" w:rsidRDefault="00B77812" w:rsidP="00222F52">
            <w:pPr>
              <w:pStyle w:val="Paragraphedeliste"/>
              <w:numPr>
                <w:ilvl w:val="0"/>
                <w:numId w:val="11"/>
              </w:numPr>
              <w:autoSpaceDE w:val="0"/>
              <w:autoSpaceDN w:val="0"/>
              <w:adjustRightInd w:val="0"/>
              <w:jc w:val="both"/>
              <w:rPr>
                <w:sz w:val="18"/>
                <w:szCs w:val="18"/>
              </w:rPr>
            </w:pPr>
            <w:r w:rsidRPr="00874278">
              <w:rPr>
                <w:sz w:val="18"/>
                <w:szCs w:val="18"/>
              </w:rPr>
              <w:t>Les alliances éducatives</w:t>
            </w:r>
            <w:r w:rsidR="004E63FB" w:rsidRPr="00874278">
              <w:rPr>
                <w:sz w:val="18"/>
                <w:szCs w:val="18"/>
              </w:rPr>
              <w:t xml:space="preserve"> sur le territoire de l’école/ de l’établissement du secondaire</w:t>
            </w:r>
          </w:p>
          <w:p w:rsidR="00B77812" w:rsidRPr="00874278" w:rsidRDefault="004E63FB" w:rsidP="00B77812">
            <w:pPr>
              <w:pStyle w:val="Paragraphedeliste"/>
              <w:numPr>
                <w:ilvl w:val="0"/>
                <w:numId w:val="11"/>
              </w:numPr>
              <w:autoSpaceDE w:val="0"/>
              <w:autoSpaceDN w:val="0"/>
              <w:adjustRightInd w:val="0"/>
              <w:jc w:val="both"/>
              <w:rPr>
                <w:sz w:val="18"/>
                <w:szCs w:val="18"/>
              </w:rPr>
            </w:pPr>
            <w:r w:rsidRPr="00874278">
              <w:rPr>
                <w:sz w:val="18"/>
                <w:szCs w:val="18"/>
              </w:rPr>
              <w:t>La continuité des apprentissages : l’accompagnement du</w:t>
            </w:r>
            <w:r w:rsidR="00B77812" w:rsidRPr="00874278">
              <w:rPr>
                <w:sz w:val="18"/>
                <w:szCs w:val="18"/>
              </w:rPr>
              <w:t xml:space="preserve"> parcours des élèves</w:t>
            </w:r>
          </w:p>
        </w:tc>
        <w:tc>
          <w:tcPr>
            <w:tcW w:w="1134" w:type="dxa"/>
            <w:vMerge/>
            <w:shd w:val="clear" w:color="auto" w:fill="95B3D7" w:themeFill="accent1" w:themeFillTint="99"/>
          </w:tcPr>
          <w:p w:rsidR="00B77812" w:rsidRPr="004E63FB" w:rsidRDefault="00B77812" w:rsidP="002F37B7">
            <w:pPr>
              <w:autoSpaceDE w:val="0"/>
              <w:autoSpaceDN w:val="0"/>
              <w:adjustRightInd w:val="0"/>
              <w:rPr>
                <w:rFonts w:cs="Calibri"/>
                <w:sz w:val="20"/>
                <w:szCs w:val="20"/>
              </w:rPr>
            </w:pPr>
          </w:p>
        </w:tc>
      </w:tr>
      <w:tr w:rsidR="00B77812" w:rsidRPr="004E63FB" w:rsidTr="009C15E0">
        <w:trPr>
          <w:gridAfter w:val="2"/>
          <w:wAfter w:w="4529" w:type="dxa"/>
        </w:trPr>
        <w:tc>
          <w:tcPr>
            <w:tcW w:w="1668" w:type="dxa"/>
            <w:vAlign w:val="center"/>
          </w:tcPr>
          <w:p w:rsidR="00B77812" w:rsidRPr="009C15E0" w:rsidRDefault="00B77812" w:rsidP="009C15E0">
            <w:pPr>
              <w:autoSpaceDE w:val="0"/>
              <w:autoSpaceDN w:val="0"/>
              <w:adjustRightInd w:val="0"/>
              <w:jc w:val="center"/>
              <w:rPr>
                <w:rFonts w:cs="Calibri"/>
                <w:b/>
                <w:sz w:val="18"/>
                <w:szCs w:val="18"/>
              </w:rPr>
            </w:pPr>
            <w:r w:rsidRPr="009C15E0">
              <w:rPr>
                <w:rFonts w:cs="Calibri"/>
                <w:b/>
                <w:sz w:val="18"/>
                <w:szCs w:val="18"/>
              </w:rPr>
              <w:t>UE 4 : Fondements éthiques et</w:t>
            </w:r>
          </w:p>
          <w:p w:rsidR="00B77812" w:rsidRPr="009C15E0" w:rsidRDefault="00B77812" w:rsidP="009C15E0">
            <w:pPr>
              <w:autoSpaceDE w:val="0"/>
              <w:autoSpaceDN w:val="0"/>
              <w:adjustRightInd w:val="0"/>
              <w:jc w:val="center"/>
              <w:rPr>
                <w:b/>
                <w:sz w:val="18"/>
                <w:szCs w:val="18"/>
              </w:rPr>
            </w:pPr>
            <w:r w:rsidRPr="009C15E0">
              <w:rPr>
                <w:rFonts w:cs="Calibri"/>
                <w:b/>
                <w:sz w:val="18"/>
                <w:szCs w:val="18"/>
              </w:rPr>
              <w:t>identité professionnelle</w:t>
            </w:r>
          </w:p>
        </w:tc>
        <w:tc>
          <w:tcPr>
            <w:tcW w:w="3692" w:type="dxa"/>
          </w:tcPr>
          <w:p w:rsidR="00222F52" w:rsidRPr="00874278" w:rsidRDefault="009C15E0" w:rsidP="00222F52">
            <w:pPr>
              <w:autoSpaceDE w:val="0"/>
              <w:autoSpaceDN w:val="0"/>
              <w:adjustRightInd w:val="0"/>
              <w:rPr>
                <w:rFonts w:cs="Calibri"/>
                <w:sz w:val="18"/>
                <w:szCs w:val="18"/>
              </w:rPr>
            </w:pPr>
            <w:r>
              <w:rPr>
                <w:rFonts w:cs="Calibri"/>
                <w:noProof/>
                <w:sz w:val="18"/>
                <w:szCs w:val="18"/>
                <w:lang w:eastAsia="fr-FR"/>
              </w:rPr>
              <mc:AlternateContent>
                <mc:Choice Requires="wps">
                  <w:drawing>
                    <wp:anchor distT="0" distB="0" distL="114300" distR="114300" simplePos="0" relativeHeight="251659264" behindDoc="0" locked="0" layoutInCell="1" allowOverlap="1" wp14:anchorId="144917B0" wp14:editId="531E64F9">
                      <wp:simplePos x="0" y="0"/>
                      <wp:positionH relativeFrom="column">
                        <wp:posOffset>2449123</wp:posOffset>
                      </wp:positionH>
                      <wp:positionV relativeFrom="paragraph">
                        <wp:posOffset>42365</wp:posOffset>
                      </wp:positionV>
                      <wp:extent cx="2682815" cy="1337094"/>
                      <wp:effectExtent l="0" t="19050" r="41910" b="15875"/>
                      <wp:wrapNone/>
                      <wp:docPr id="1" name="Flèche à angle droit 1"/>
                      <wp:cNvGraphicFramePr/>
                      <a:graphic xmlns:a="http://schemas.openxmlformats.org/drawingml/2006/main">
                        <a:graphicData uri="http://schemas.microsoft.com/office/word/2010/wordprocessingShape">
                          <wps:wsp>
                            <wps:cNvSpPr/>
                            <wps:spPr>
                              <a:xfrm>
                                <a:off x="0" y="0"/>
                                <a:ext cx="2682815" cy="1337094"/>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à angle droit 1" o:spid="_x0000_s1026" style="position:absolute;margin-left:192.85pt;margin-top:3.35pt;width:211.25pt;height:10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82815,1337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" path="m,1002821r2181405,l2181405,334274r-167137,l2348542,r334273,334274l2515678,334274r,1002820l,1337094,,1002821xe" fillcolor="#4f81bd [3204]" strokecolor="#243f60 [1604]" strokeweight="2pt">
                      <v:path arrowok="t" o:connecttype="custom" o:connectlocs="0,1002821;2181405,1002821;2181405,334274;2014268,334274;2348542,0;2682815,334274;2515678,334274;2515678,1337094;0,1337094;0,1002821" o:connectangles="0,0,0,0,0,0,0,0,0,0"/>
                    </v:shape>
                  </w:pict>
                </mc:Fallback>
              </mc:AlternateContent>
            </w:r>
            <w:r w:rsidR="004E63FB" w:rsidRPr="00874278">
              <w:rPr>
                <w:rFonts w:cs="Calibri"/>
                <w:sz w:val="18"/>
                <w:szCs w:val="18"/>
              </w:rPr>
              <w:t xml:space="preserve">- </w:t>
            </w:r>
            <w:r w:rsidR="00222F52" w:rsidRPr="00874278">
              <w:rPr>
                <w:rFonts w:cs="Calibri"/>
                <w:sz w:val="18"/>
                <w:szCs w:val="18"/>
              </w:rPr>
              <w:t xml:space="preserve">Système éducatif français, politiques éducatives et socle commun </w:t>
            </w:r>
          </w:p>
          <w:p w:rsidR="00222F52" w:rsidRPr="00874278" w:rsidRDefault="00222F52" w:rsidP="00222F52">
            <w:pPr>
              <w:autoSpaceDE w:val="0"/>
              <w:autoSpaceDN w:val="0"/>
              <w:adjustRightInd w:val="0"/>
              <w:rPr>
                <w:rFonts w:cs="Calibri"/>
                <w:sz w:val="18"/>
                <w:szCs w:val="18"/>
              </w:rPr>
            </w:pPr>
            <w:r w:rsidRPr="00874278">
              <w:rPr>
                <w:rFonts w:cs="Calibri"/>
                <w:sz w:val="18"/>
                <w:szCs w:val="18"/>
              </w:rPr>
              <w:t>-  Massification/démocratisation/égalité des chances</w:t>
            </w:r>
          </w:p>
          <w:p w:rsidR="00B77812" w:rsidRPr="00874278" w:rsidRDefault="00222F52" w:rsidP="002F37B7">
            <w:pPr>
              <w:autoSpaceDE w:val="0"/>
              <w:autoSpaceDN w:val="0"/>
              <w:adjustRightInd w:val="0"/>
              <w:rPr>
                <w:rFonts w:cs="Calibri"/>
                <w:sz w:val="18"/>
                <w:szCs w:val="18"/>
              </w:rPr>
            </w:pPr>
            <w:r w:rsidRPr="00874278">
              <w:rPr>
                <w:rFonts w:cs="Calibri"/>
                <w:sz w:val="18"/>
                <w:szCs w:val="18"/>
              </w:rPr>
              <w:t>- Efficacité et équité du système - le système aujourd’hui, comparaison internationale</w:t>
            </w:r>
          </w:p>
          <w:p w:rsidR="00222F52" w:rsidRPr="00874278" w:rsidRDefault="00B77812" w:rsidP="002F37B7">
            <w:pPr>
              <w:autoSpaceDE w:val="0"/>
              <w:autoSpaceDN w:val="0"/>
              <w:adjustRightInd w:val="0"/>
              <w:rPr>
                <w:rFonts w:cs="Calibri"/>
                <w:sz w:val="18"/>
                <w:szCs w:val="18"/>
              </w:rPr>
            </w:pPr>
            <w:r w:rsidRPr="00874278">
              <w:rPr>
                <w:rFonts w:cs="Calibri"/>
                <w:sz w:val="18"/>
                <w:szCs w:val="18"/>
              </w:rPr>
              <w:t>-</w:t>
            </w:r>
            <w:r w:rsidR="00222F52" w:rsidRPr="00874278">
              <w:rPr>
                <w:rFonts w:cs="Calibri"/>
                <w:sz w:val="18"/>
                <w:szCs w:val="18"/>
              </w:rPr>
              <w:t xml:space="preserve"> Autorité et climat scolaire : Règle</w:t>
            </w:r>
            <w:r w:rsidR="00333136">
              <w:rPr>
                <w:rFonts w:cs="Calibri"/>
                <w:sz w:val="18"/>
                <w:szCs w:val="18"/>
              </w:rPr>
              <w:t xml:space="preserve">s, </w:t>
            </w:r>
            <w:r w:rsidR="00222F52" w:rsidRPr="00874278">
              <w:rPr>
                <w:rFonts w:cs="Calibri"/>
                <w:sz w:val="18"/>
                <w:szCs w:val="18"/>
              </w:rPr>
              <w:t>transgression et sanction</w:t>
            </w:r>
            <w:r w:rsidR="00333136">
              <w:rPr>
                <w:rFonts w:cs="Calibri"/>
                <w:sz w:val="18"/>
                <w:szCs w:val="18"/>
              </w:rPr>
              <w:t xml:space="preserve"> éducative</w:t>
            </w:r>
          </w:p>
          <w:p w:rsidR="00B77812" w:rsidRPr="00874278" w:rsidRDefault="00B77812" w:rsidP="002F37B7">
            <w:pPr>
              <w:autoSpaceDE w:val="0"/>
              <w:autoSpaceDN w:val="0"/>
              <w:adjustRightInd w:val="0"/>
              <w:rPr>
                <w:rFonts w:cs="Calibri"/>
                <w:sz w:val="18"/>
                <w:szCs w:val="18"/>
              </w:rPr>
            </w:pPr>
            <w:r w:rsidRPr="00874278">
              <w:rPr>
                <w:rFonts w:cs="Calibri"/>
                <w:sz w:val="18"/>
                <w:szCs w:val="18"/>
              </w:rPr>
              <w:t>- Valeurs de la république et de l’école</w:t>
            </w:r>
          </w:p>
          <w:p w:rsidR="00222F52" w:rsidRPr="00874278" w:rsidRDefault="00222F52" w:rsidP="00222F52">
            <w:pPr>
              <w:pStyle w:val="Paragraphedeliste"/>
              <w:numPr>
                <w:ilvl w:val="0"/>
                <w:numId w:val="8"/>
              </w:numPr>
              <w:autoSpaceDE w:val="0"/>
              <w:autoSpaceDN w:val="0"/>
              <w:adjustRightInd w:val="0"/>
              <w:rPr>
                <w:rFonts w:cs="Calibri"/>
                <w:sz w:val="18"/>
                <w:szCs w:val="18"/>
              </w:rPr>
            </w:pPr>
            <w:r w:rsidRPr="00874278">
              <w:rPr>
                <w:rFonts w:cs="Calibri"/>
                <w:sz w:val="18"/>
                <w:szCs w:val="18"/>
              </w:rPr>
              <w:t>Laïcité</w:t>
            </w:r>
          </w:p>
          <w:p w:rsidR="00222F52" w:rsidRPr="00874278" w:rsidRDefault="00222F52" w:rsidP="00222F52">
            <w:pPr>
              <w:pStyle w:val="Paragraphedeliste"/>
              <w:numPr>
                <w:ilvl w:val="0"/>
                <w:numId w:val="8"/>
              </w:numPr>
              <w:autoSpaceDE w:val="0"/>
              <w:autoSpaceDN w:val="0"/>
              <w:adjustRightInd w:val="0"/>
              <w:rPr>
                <w:rFonts w:cs="Calibri"/>
                <w:sz w:val="18"/>
                <w:szCs w:val="18"/>
              </w:rPr>
            </w:pPr>
            <w:r w:rsidRPr="00874278">
              <w:rPr>
                <w:rFonts w:cs="Calibri"/>
                <w:sz w:val="18"/>
                <w:szCs w:val="18"/>
              </w:rPr>
              <w:t>Le parcours citoyen : enjeux de l’enseignement moral et civique</w:t>
            </w:r>
          </w:p>
          <w:p w:rsidR="00222F52" w:rsidRPr="00874278" w:rsidRDefault="00222F52" w:rsidP="00222F52">
            <w:pPr>
              <w:pStyle w:val="Paragraphedeliste"/>
              <w:numPr>
                <w:ilvl w:val="0"/>
                <w:numId w:val="8"/>
              </w:numPr>
              <w:autoSpaceDE w:val="0"/>
              <w:autoSpaceDN w:val="0"/>
              <w:adjustRightInd w:val="0"/>
              <w:rPr>
                <w:rFonts w:cs="Calibri"/>
                <w:sz w:val="18"/>
                <w:szCs w:val="18"/>
              </w:rPr>
            </w:pPr>
            <w:r w:rsidRPr="00874278">
              <w:rPr>
                <w:rFonts w:cs="Calibri"/>
                <w:sz w:val="18"/>
                <w:szCs w:val="18"/>
              </w:rPr>
              <w:t>Identité numérique élèves/professeurs/réseaux sociaux</w:t>
            </w:r>
          </w:p>
          <w:p w:rsidR="00222F52" w:rsidRPr="00874278" w:rsidRDefault="00222F52" w:rsidP="00222F52">
            <w:pPr>
              <w:pStyle w:val="Paragraphedeliste"/>
              <w:numPr>
                <w:ilvl w:val="0"/>
                <w:numId w:val="8"/>
              </w:numPr>
              <w:autoSpaceDE w:val="0"/>
              <w:autoSpaceDN w:val="0"/>
              <w:adjustRightInd w:val="0"/>
              <w:rPr>
                <w:rFonts w:cs="Calibri"/>
                <w:sz w:val="18"/>
                <w:szCs w:val="18"/>
              </w:rPr>
            </w:pPr>
            <w:r w:rsidRPr="00874278">
              <w:rPr>
                <w:rFonts w:cs="Calibri"/>
                <w:sz w:val="18"/>
                <w:szCs w:val="18"/>
              </w:rPr>
              <w:t>Éducation aux médias et à l'information (EMI)</w:t>
            </w:r>
          </w:p>
          <w:p w:rsidR="00B77812" w:rsidRPr="00874278" w:rsidRDefault="00B77812" w:rsidP="002F37B7">
            <w:pPr>
              <w:autoSpaceDE w:val="0"/>
              <w:autoSpaceDN w:val="0"/>
              <w:adjustRightInd w:val="0"/>
              <w:rPr>
                <w:rFonts w:cs="Calibri"/>
                <w:sz w:val="18"/>
                <w:szCs w:val="18"/>
              </w:rPr>
            </w:pPr>
            <w:r w:rsidRPr="00874278">
              <w:rPr>
                <w:rFonts w:cs="Calibri"/>
                <w:sz w:val="18"/>
                <w:szCs w:val="18"/>
              </w:rPr>
              <w:t>- Apprendre et travailler à l’ère du numérique</w:t>
            </w:r>
          </w:p>
          <w:p w:rsidR="00B77812" w:rsidRPr="00874278" w:rsidRDefault="00B77812" w:rsidP="00222F52">
            <w:pPr>
              <w:pStyle w:val="Paragraphedeliste"/>
              <w:numPr>
                <w:ilvl w:val="0"/>
                <w:numId w:val="7"/>
              </w:numPr>
              <w:autoSpaceDE w:val="0"/>
              <w:autoSpaceDN w:val="0"/>
              <w:adjustRightInd w:val="0"/>
              <w:rPr>
                <w:rFonts w:cs="Calibri"/>
                <w:sz w:val="18"/>
                <w:szCs w:val="18"/>
              </w:rPr>
            </w:pPr>
            <w:r w:rsidRPr="00874278">
              <w:rPr>
                <w:rFonts w:cs="Calibri"/>
                <w:sz w:val="18"/>
                <w:szCs w:val="18"/>
              </w:rPr>
              <w:t>usages numériques des jeunes</w:t>
            </w:r>
          </w:p>
          <w:p w:rsidR="00B77812" w:rsidRPr="00874278" w:rsidRDefault="00B77812" w:rsidP="00222F52">
            <w:pPr>
              <w:pStyle w:val="Paragraphedeliste"/>
              <w:numPr>
                <w:ilvl w:val="0"/>
                <w:numId w:val="7"/>
              </w:numPr>
              <w:autoSpaceDE w:val="0"/>
              <w:autoSpaceDN w:val="0"/>
              <w:adjustRightInd w:val="0"/>
              <w:rPr>
                <w:rFonts w:cs="Calibri"/>
                <w:sz w:val="18"/>
                <w:szCs w:val="18"/>
              </w:rPr>
            </w:pPr>
            <w:r w:rsidRPr="00874278">
              <w:rPr>
                <w:rFonts w:cs="Calibri"/>
                <w:sz w:val="18"/>
                <w:szCs w:val="18"/>
              </w:rPr>
              <w:t>Culture informationnelle : veille, évaluation de l'information, partage</w:t>
            </w:r>
          </w:p>
          <w:p w:rsidR="00B77812" w:rsidRPr="00874278" w:rsidRDefault="00B77812" w:rsidP="002F37B7">
            <w:pPr>
              <w:autoSpaceDE w:val="0"/>
              <w:autoSpaceDN w:val="0"/>
              <w:adjustRightInd w:val="0"/>
              <w:rPr>
                <w:rFonts w:cs="Calibri"/>
                <w:sz w:val="18"/>
                <w:szCs w:val="18"/>
              </w:rPr>
            </w:pPr>
            <w:r w:rsidRPr="00874278">
              <w:rPr>
                <w:rFonts w:cs="Calibri"/>
                <w:sz w:val="18"/>
                <w:szCs w:val="18"/>
              </w:rPr>
              <w:t>- Droits et sécurité, cadre juridique : propriété intellectuelle et respect de la vie privée</w:t>
            </w:r>
          </w:p>
          <w:p w:rsidR="00B77812" w:rsidRPr="00874278" w:rsidRDefault="00B77812" w:rsidP="00222F52">
            <w:pPr>
              <w:autoSpaceDE w:val="0"/>
              <w:autoSpaceDN w:val="0"/>
              <w:adjustRightInd w:val="0"/>
              <w:jc w:val="both"/>
              <w:rPr>
                <w:rFonts w:cs="Calibri"/>
                <w:sz w:val="18"/>
                <w:szCs w:val="18"/>
              </w:rPr>
            </w:pPr>
            <w:r w:rsidRPr="00874278">
              <w:rPr>
                <w:rFonts w:cs="Calibri"/>
                <w:sz w:val="18"/>
                <w:szCs w:val="18"/>
              </w:rPr>
              <w:t>- Innover et collaborer à l'ère du numérique</w:t>
            </w:r>
          </w:p>
          <w:p w:rsidR="00B77812" w:rsidRPr="00874278" w:rsidRDefault="00B77812" w:rsidP="002F37B7">
            <w:pPr>
              <w:autoSpaceDE w:val="0"/>
              <w:autoSpaceDN w:val="0"/>
              <w:adjustRightInd w:val="0"/>
              <w:jc w:val="both"/>
              <w:rPr>
                <w:sz w:val="18"/>
                <w:szCs w:val="18"/>
              </w:rPr>
            </w:pPr>
          </w:p>
        </w:tc>
      </w:tr>
    </w:tbl>
    <w:p w:rsidR="002F37B7" w:rsidRPr="004E63FB" w:rsidRDefault="002F37B7" w:rsidP="00577BA0">
      <w:pPr>
        <w:autoSpaceDE w:val="0"/>
        <w:autoSpaceDN w:val="0"/>
        <w:adjustRightInd w:val="0"/>
        <w:spacing w:after="0" w:line="240" w:lineRule="auto"/>
        <w:jc w:val="both"/>
        <w:rPr>
          <w:sz w:val="20"/>
          <w:szCs w:val="20"/>
        </w:rPr>
      </w:pPr>
    </w:p>
    <w:p w:rsidR="00A869C8" w:rsidRPr="004E63FB" w:rsidRDefault="002D0548" w:rsidP="002D0548">
      <w:pPr>
        <w:autoSpaceDE w:val="0"/>
        <w:autoSpaceDN w:val="0"/>
        <w:adjustRightInd w:val="0"/>
        <w:spacing w:after="0" w:line="240" w:lineRule="auto"/>
        <w:jc w:val="both"/>
        <w:rPr>
          <w:sz w:val="20"/>
          <w:szCs w:val="20"/>
        </w:rPr>
      </w:pPr>
      <w:r w:rsidRPr="004E63FB">
        <w:rPr>
          <w:sz w:val="20"/>
          <w:szCs w:val="20"/>
        </w:rPr>
        <w:t xml:space="preserve"> </w:t>
      </w:r>
    </w:p>
    <w:sectPr w:rsidR="00A869C8" w:rsidRPr="004E63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k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2418"/>
    <w:multiLevelType w:val="hybridMultilevel"/>
    <w:tmpl w:val="D7DEEBCE"/>
    <w:lvl w:ilvl="0" w:tplc="B34E46D4">
      <w:numFmt w:val="bullet"/>
      <w:lvlText w:val="-"/>
      <w:lvlJc w:val="left"/>
      <w:pPr>
        <w:ind w:left="1170" w:hanging="360"/>
      </w:pPr>
      <w:rPr>
        <w:rFonts w:ascii="Calibri" w:eastAsiaTheme="minorHAnsi" w:hAnsi="Calibri" w:cs="Calibri"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1">
    <w:nsid w:val="114243E5"/>
    <w:multiLevelType w:val="hybridMultilevel"/>
    <w:tmpl w:val="E66C5CB0"/>
    <w:lvl w:ilvl="0" w:tplc="040C0001">
      <w:start w:val="1"/>
      <w:numFmt w:val="bullet"/>
      <w:lvlText w:val=""/>
      <w:lvlJc w:val="left"/>
      <w:pPr>
        <w:ind w:left="40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7119B7"/>
    <w:multiLevelType w:val="hybridMultilevel"/>
    <w:tmpl w:val="6130E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3446E19"/>
    <w:multiLevelType w:val="hybridMultilevel"/>
    <w:tmpl w:val="A98C05C4"/>
    <w:lvl w:ilvl="0" w:tplc="74D0E9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AF035EB"/>
    <w:multiLevelType w:val="hybridMultilevel"/>
    <w:tmpl w:val="73727514"/>
    <w:lvl w:ilvl="0" w:tplc="040C0001">
      <w:start w:val="1"/>
      <w:numFmt w:val="bullet"/>
      <w:lvlText w:val=""/>
      <w:lvlJc w:val="left"/>
      <w:pPr>
        <w:ind w:left="1170" w:hanging="360"/>
      </w:pPr>
      <w:rPr>
        <w:rFonts w:ascii="Symbol" w:hAnsi="Symbol"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5">
    <w:nsid w:val="467945D2"/>
    <w:multiLevelType w:val="hybridMultilevel"/>
    <w:tmpl w:val="05F042C4"/>
    <w:lvl w:ilvl="0" w:tplc="8A72DEC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8B50CFD"/>
    <w:multiLevelType w:val="hybridMultilevel"/>
    <w:tmpl w:val="FC223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9A171AA"/>
    <w:multiLevelType w:val="hybridMultilevel"/>
    <w:tmpl w:val="C4DCE5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4F7050BE"/>
    <w:multiLevelType w:val="hybridMultilevel"/>
    <w:tmpl w:val="985C848A"/>
    <w:lvl w:ilvl="0" w:tplc="B34E46D4">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8C36700"/>
    <w:multiLevelType w:val="hybridMultilevel"/>
    <w:tmpl w:val="8974B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02831DA"/>
    <w:multiLevelType w:val="hybridMultilevel"/>
    <w:tmpl w:val="4A5E522C"/>
    <w:lvl w:ilvl="0" w:tplc="B34E46D4">
      <w:numFmt w:val="bullet"/>
      <w:lvlText w:val="-"/>
      <w:lvlJc w:val="left"/>
      <w:pPr>
        <w:ind w:left="810" w:hanging="360"/>
      </w:pPr>
      <w:rPr>
        <w:rFonts w:ascii="Calibri" w:eastAsiaTheme="minorHAnsi" w:hAnsi="Calibri" w:cs="Calibri"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11">
    <w:nsid w:val="680130D4"/>
    <w:multiLevelType w:val="hybridMultilevel"/>
    <w:tmpl w:val="9B8A6458"/>
    <w:lvl w:ilvl="0" w:tplc="B34E46D4">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2">
    <w:nsid w:val="72EB5FFA"/>
    <w:multiLevelType w:val="hybridMultilevel"/>
    <w:tmpl w:val="89F87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88D142E"/>
    <w:multiLevelType w:val="hybridMultilevel"/>
    <w:tmpl w:val="973C6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B2C228C"/>
    <w:multiLevelType w:val="hybridMultilevel"/>
    <w:tmpl w:val="350A2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0"/>
  </w:num>
  <w:num w:numId="4">
    <w:abstractNumId w:val="8"/>
  </w:num>
  <w:num w:numId="5">
    <w:abstractNumId w:val="1"/>
  </w:num>
  <w:num w:numId="6">
    <w:abstractNumId w:val="6"/>
  </w:num>
  <w:num w:numId="7">
    <w:abstractNumId w:val="9"/>
  </w:num>
  <w:num w:numId="8">
    <w:abstractNumId w:val="2"/>
  </w:num>
  <w:num w:numId="9">
    <w:abstractNumId w:val="12"/>
  </w:num>
  <w:num w:numId="10">
    <w:abstractNumId w:val="14"/>
  </w:num>
  <w:num w:numId="11">
    <w:abstractNumId w:val="7"/>
  </w:num>
  <w:num w:numId="12">
    <w:abstractNumId w:val="5"/>
  </w:num>
  <w:num w:numId="13">
    <w:abstractNumId w:val="13"/>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BA0"/>
    <w:rsid w:val="000067B6"/>
    <w:rsid w:val="00010EB7"/>
    <w:rsid w:val="00023E77"/>
    <w:rsid w:val="00027261"/>
    <w:rsid w:val="00051247"/>
    <w:rsid w:val="0006302A"/>
    <w:rsid w:val="00067B1F"/>
    <w:rsid w:val="00076D6B"/>
    <w:rsid w:val="000922AE"/>
    <w:rsid w:val="000A01BD"/>
    <w:rsid w:val="000A214A"/>
    <w:rsid w:val="000B160C"/>
    <w:rsid w:val="000B59F0"/>
    <w:rsid w:val="000B6767"/>
    <w:rsid w:val="00107434"/>
    <w:rsid w:val="00107C51"/>
    <w:rsid w:val="0011667B"/>
    <w:rsid w:val="001234C7"/>
    <w:rsid w:val="00141E5A"/>
    <w:rsid w:val="001647D1"/>
    <w:rsid w:val="001874AE"/>
    <w:rsid w:val="00190FEA"/>
    <w:rsid w:val="00194795"/>
    <w:rsid w:val="001D0087"/>
    <w:rsid w:val="001D4482"/>
    <w:rsid w:val="001E730C"/>
    <w:rsid w:val="001F0908"/>
    <w:rsid w:val="002127BE"/>
    <w:rsid w:val="00222F52"/>
    <w:rsid w:val="00234F20"/>
    <w:rsid w:val="0024125E"/>
    <w:rsid w:val="00252961"/>
    <w:rsid w:val="00256EB0"/>
    <w:rsid w:val="00267EEE"/>
    <w:rsid w:val="002766E6"/>
    <w:rsid w:val="00280FF6"/>
    <w:rsid w:val="0029532A"/>
    <w:rsid w:val="00296552"/>
    <w:rsid w:val="002D0548"/>
    <w:rsid w:val="002D640F"/>
    <w:rsid w:val="002E5A3D"/>
    <w:rsid w:val="002E78D4"/>
    <w:rsid w:val="002F37B7"/>
    <w:rsid w:val="003200B7"/>
    <w:rsid w:val="00333136"/>
    <w:rsid w:val="0038095E"/>
    <w:rsid w:val="00381A28"/>
    <w:rsid w:val="00393A45"/>
    <w:rsid w:val="00394CB9"/>
    <w:rsid w:val="003A6049"/>
    <w:rsid w:val="00401A38"/>
    <w:rsid w:val="00412447"/>
    <w:rsid w:val="00412EAC"/>
    <w:rsid w:val="004130D4"/>
    <w:rsid w:val="00414EA1"/>
    <w:rsid w:val="00425FA3"/>
    <w:rsid w:val="00437CE9"/>
    <w:rsid w:val="004711EA"/>
    <w:rsid w:val="0048536B"/>
    <w:rsid w:val="004A7706"/>
    <w:rsid w:val="004B28BE"/>
    <w:rsid w:val="004B44B5"/>
    <w:rsid w:val="004D2B72"/>
    <w:rsid w:val="004D6EA5"/>
    <w:rsid w:val="004E2F25"/>
    <w:rsid w:val="004E63FB"/>
    <w:rsid w:val="004E770D"/>
    <w:rsid w:val="00500420"/>
    <w:rsid w:val="00525EA9"/>
    <w:rsid w:val="0054366F"/>
    <w:rsid w:val="00544047"/>
    <w:rsid w:val="00577BA0"/>
    <w:rsid w:val="00586A6A"/>
    <w:rsid w:val="0059133E"/>
    <w:rsid w:val="00595050"/>
    <w:rsid w:val="00597556"/>
    <w:rsid w:val="005C1D7A"/>
    <w:rsid w:val="005C3DD0"/>
    <w:rsid w:val="005D510E"/>
    <w:rsid w:val="005E6760"/>
    <w:rsid w:val="00634B36"/>
    <w:rsid w:val="0064314D"/>
    <w:rsid w:val="00665A97"/>
    <w:rsid w:val="00671E34"/>
    <w:rsid w:val="006A390D"/>
    <w:rsid w:val="006B12A9"/>
    <w:rsid w:val="006B7D35"/>
    <w:rsid w:val="006E15F9"/>
    <w:rsid w:val="006F6EBF"/>
    <w:rsid w:val="00703EA0"/>
    <w:rsid w:val="00705198"/>
    <w:rsid w:val="00723FC3"/>
    <w:rsid w:val="00732700"/>
    <w:rsid w:val="0074745E"/>
    <w:rsid w:val="007636B2"/>
    <w:rsid w:val="00766CA1"/>
    <w:rsid w:val="00773F5E"/>
    <w:rsid w:val="00792C4D"/>
    <w:rsid w:val="007C1435"/>
    <w:rsid w:val="007C2356"/>
    <w:rsid w:val="007D412E"/>
    <w:rsid w:val="007E221D"/>
    <w:rsid w:val="007E7089"/>
    <w:rsid w:val="007F5CBD"/>
    <w:rsid w:val="00815794"/>
    <w:rsid w:val="0082185F"/>
    <w:rsid w:val="0082195B"/>
    <w:rsid w:val="008274CF"/>
    <w:rsid w:val="0083563A"/>
    <w:rsid w:val="00852470"/>
    <w:rsid w:val="00862FA3"/>
    <w:rsid w:val="0086387F"/>
    <w:rsid w:val="008712BE"/>
    <w:rsid w:val="00874278"/>
    <w:rsid w:val="00875383"/>
    <w:rsid w:val="00877003"/>
    <w:rsid w:val="008846AF"/>
    <w:rsid w:val="00887FB7"/>
    <w:rsid w:val="008A627C"/>
    <w:rsid w:val="008B298A"/>
    <w:rsid w:val="008B41BF"/>
    <w:rsid w:val="008E7E09"/>
    <w:rsid w:val="008F2BB2"/>
    <w:rsid w:val="00955D5D"/>
    <w:rsid w:val="009870F5"/>
    <w:rsid w:val="0099060F"/>
    <w:rsid w:val="009A0C7D"/>
    <w:rsid w:val="009A3D4A"/>
    <w:rsid w:val="009B1A3F"/>
    <w:rsid w:val="009C0C2B"/>
    <w:rsid w:val="009C15E0"/>
    <w:rsid w:val="009F1BFA"/>
    <w:rsid w:val="009F4A9E"/>
    <w:rsid w:val="00A05A7B"/>
    <w:rsid w:val="00A24F68"/>
    <w:rsid w:val="00A73884"/>
    <w:rsid w:val="00A75761"/>
    <w:rsid w:val="00A811E8"/>
    <w:rsid w:val="00A865AD"/>
    <w:rsid w:val="00A869C8"/>
    <w:rsid w:val="00AB1B65"/>
    <w:rsid w:val="00AD5E70"/>
    <w:rsid w:val="00AE247F"/>
    <w:rsid w:val="00AE2A75"/>
    <w:rsid w:val="00B04CE8"/>
    <w:rsid w:val="00B120DC"/>
    <w:rsid w:val="00B12A71"/>
    <w:rsid w:val="00B22BE3"/>
    <w:rsid w:val="00B347F5"/>
    <w:rsid w:val="00B4298B"/>
    <w:rsid w:val="00B44AF9"/>
    <w:rsid w:val="00B4623E"/>
    <w:rsid w:val="00B462DF"/>
    <w:rsid w:val="00B47152"/>
    <w:rsid w:val="00B50959"/>
    <w:rsid w:val="00B550F6"/>
    <w:rsid w:val="00B575E5"/>
    <w:rsid w:val="00B7183D"/>
    <w:rsid w:val="00B7254A"/>
    <w:rsid w:val="00B760F5"/>
    <w:rsid w:val="00B77812"/>
    <w:rsid w:val="00B92AC4"/>
    <w:rsid w:val="00B962F1"/>
    <w:rsid w:val="00BC520A"/>
    <w:rsid w:val="00BE4E7F"/>
    <w:rsid w:val="00C11B57"/>
    <w:rsid w:val="00C1774A"/>
    <w:rsid w:val="00C52EDF"/>
    <w:rsid w:val="00C53624"/>
    <w:rsid w:val="00C623EE"/>
    <w:rsid w:val="00C80239"/>
    <w:rsid w:val="00C803BF"/>
    <w:rsid w:val="00C82F3A"/>
    <w:rsid w:val="00C84436"/>
    <w:rsid w:val="00C908C1"/>
    <w:rsid w:val="00CA4D1A"/>
    <w:rsid w:val="00CA7A26"/>
    <w:rsid w:val="00CC3072"/>
    <w:rsid w:val="00CD0003"/>
    <w:rsid w:val="00CD1709"/>
    <w:rsid w:val="00CD6A2B"/>
    <w:rsid w:val="00CF3997"/>
    <w:rsid w:val="00CF3B10"/>
    <w:rsid w:val="00CF5718"/>
    <w:rsid w:val="00D04490"/>
    <w:rsid w:val="00D05600"/>
    <w:rsid w:val="00D207DA"/>
    <w:rsid w:val="00D86AC5"/>
    <w:rsid w:val="00D92CF5"/>
    <w:rsid w:val="00DA3CB6"/>
    <w:rsid w:val="00DA7FE5"/>
    <w:rsid w:val="00DC328B"/>
    <w:rsid w:val="00DD2EC0"/>
    <w:rsid w:val="00DD3953"/>
    <w:rsid w:val="00DD3ABF"/>
    <w:rsid w:val="00DD3DA8"/>
    <w:rsid w:val="00E129F3"/>
    <w:rsid w:val="00E245AC"/>
    <w:rsid w:val="00E301AA"/>
    <w:rsid w:val="00E3553D"/>
    <w:rsid w:val="00E42891"/>
    <w:rsid w:val="00E50991"/>
    <w:rsid w:val="00E6179D"/>
    <w:rsid w:val="00E7232E"/>
    <w:rsid w:val="00E7449D"/>
    <w:rsid w:val="00E844DA"/>
    <w:rsid w:val="00E9639D"/>
    <w:rsid w:val="00EB0593"/>
    <w:rsid w:val="00EC1294"/>
    <w:rsid w:val="00ED42B8"/>
    <w:rsid w:val="00ED4E17"/>
    <w:rsid w:val="00EE4A97"/>
    <w:rsid w:val="00EF713B"/>
    <w:rsid w:val="00F012E6"/>
    <w:rsid w:val="00F12731"/>
    <w:rsid w:val="00F52C74"/>
    <w:rsid w:val="00F67506"/>
    <w:rsid w:val="00F843CB"/>
    <w:rsid w:val="00F86861"/>
    <w:rsid w:val="00F870DE"/>
    <w:rsid w:val="00F97C5F"/>
    <w:rsid w:val="00FB12FE"/>
    <w:rsid w:val="00FC1E8D"/>
    <w:rsid w:val="00FC6A80"/>
    <w:rsid w:val="00FE1A10"/>
    <w:rsid w:val="00FF4EC6"/>
    <w:rsid w:val="00FF70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57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869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57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86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652139">
      <w:bodyDiv w:val="1"/>
      <w:marLeft w:val="0"/>
      <w:marRight w:val="0"/>
      <w:marTop w:val="0"/>
      <w:marBottom w:val="0"/>
      <w:divBdr>
        <w:top w:val="none" w:sz="0" w:space="0" w:color="auto"/>
        <w:left w:val="none" w:sz="0" w:space="0" w:color="auto"/>
        <w:bottom w:val="none" w:sz="0" w:space="0" w:color="auto"/>
        <w:right w:val="none" w:sz="0" w:space="0" w:color="auto"/>
      </w:divBdr>
      <w:divsChild>
        <w:div w:id="910507734">
          <w:marLeft w:val="0"/>
          <w:marRight w:val="0"/>
          <w:marTop w:val="0"/>
          <w:marBottom w:val="0"/>
          <w:divBdr>
            <w:top w:val="none" w:sz="0" w:space="0" w:color="auto"/>
            <w:left w:val="none" w:sz="0" w:space="0" w:color="auto"/>
            <w:bottom w:val="none" w:sz="0" w:space="0" w:color="auto"/>
            <w:right w:val="none" w:sz="0" w:space="0" w:color="auto"/>
          </w:divBdr>
        </w:div>
        <w:div w:id="542330443">
          <w:marLeft w:val="0"/>
          <w:marRight w:val="0"/>
          <w:marTop w:val="0"/>
          <w:marBottom w:val="0"/>
          <w:divBdr>
            <w:top w:val="none" w:sz="0" w:space="0" w:color="auto"/>
            <w:left w:val="none" w:sz="0" w:space="0" w:color="auto"/>
            <w:bottom w:val="none" w:sz="0" w:space="0" w:color="auto"/>
            <w:right w:val="none" w:sz="0" w:space="0" w:color="auto"/>
          </w:divBdr>
        </w:div>
        <w:div w:id="802429814">
          <w:marLeft w:val="0"/>
          <w:marRight w:val="0"/>
          <w:marTop w:val="0"/>
          <w:marBottom w:val="0"/>
          <w:divBdr>
            <w:top w:val="none" w:sz="0" w:space="0" w:color="auto"/>
            <w:left w:val="none" w:sz="0" w:space="0" w:color="auto"/>
            <w:bottom w:val="none" w:sz="0" w:space="0" w:color="auto"/>
            <w:right w:val="none" w:sz="0" w:space="0" w:color="auto"/>
          </w:divBdr>
        </w:div>
        <w:div w:id="67508263">
          <w:marLeft w:val="0"/>
          <w:marRight w:val="0"/>
          <w:marTop w:val="0"/>
          <w:marBottom w:val="0"/>
          <w:divBdr>
            <w:top w:val="none" w:sz="0" w:space="0" w:color="auto"/>
            <w:left w:val="none" w:sz="0" w:space="0" w:color="auto"/>
            <w:bottom w:val="none" w:sz="0" w:space="0" w:color="auto"/>
            <w:right w:val="none" w:sz="0" w:space="0" w:color="auto"/>
          </w:divBdr>
        </w:div>
        <w:div w:id="332923575">
          <w:marLeft w:val="0"/>
          <w:marRight w:val="0"/>
          <w:marTop w:val="0"/>
          <w:marBottom w:val="0"/>
          <w:divBdr>
            <w:top w:val="none" w:sz="0" w:space="0" w:color="auto"/>
            <w:left w:val="none" w:sz="0" w:space="0" w:color="auto"/>
            <w:bottom w:val="none" w:sz="0" w:space="0" w:color="auto"/>
            <w:right w:val="none" w:sz="0" w:space="0" w:color="auto"/>
          </w:divBdr>
        </w:div>
        <w:div w:id="571936583">
          <w:marLeft w:val="0"/>
          <w:marRight w:val="0"/>
          <w:marTop w:val="0"/>
          <w:marBottom w:val="0"/>
          <w:divBdr>
            <w:top w:val="none" w:sz="0" w:space="0" w:color="auto"/>
            <w:left w:val="none" w:sz="0" w:space="0" w:color="auto"/>
            <w:bottom w:val="none" w:sz="0" w:space="0" w:color="auto"/>
            <w:right w:val="none" w:sz="0" w:space="0" w:color="auto"/>
          </w:divBdr>
        </w:div>
        <w:div w:id="743142564">
          <w:marLeft w:val="0"/>
          <w:marRight w:val="0"/>
          <w:marTop w:val="0"/>
          <w:marBottom w:val="0"/>
          <w:divBdr>
            <w:top w:val="none" w:sz="0" w:space="0" w:color="auto"/>
            <w:left w:val="none" w:sz="0" w:space="0" w:color="auto"/>
            <w:bottom w:val="none" w:sz="0" w:space="0" w:color="auto"/>
            <w:right w:val="none" w:sz="0" w:space="0" w:color="auto"/>
          </w:divBdr>
        </w:div>
        <w:div w:id="1818719478">
          <w:marLeft w:val="0"/>
          <w:marRight w:val="0"/>
          <w:marTop w:val="0"/>
          <w:marBottom w:val="0"/>
          <w:divBdr>
            <w:top w:val="none" w:sz="0" w:space="0" w:color="auto"/>
            <w:left w:val="none" w:sz="0" w:space="0" w:color="auto"/>
            <w:bottom w:val="none" w:sz="0" w:space="0" w:color="auto"/>
            <w:right w:val="none" w:sz="0" w:space="0" w:color="auto"/>
          </w:divBdr>
        </w:div>
        <w:div w:id="495875540">
          <w:marLeft w:val="0"/>
          <w:marRight w:val="0"/>
          <w:marTop w:val="0"/>
          <w:marBottom w:val="0"/>
          <w:divBdr>
            <w:top w:val="none" w:sz="0" w:space="0" w:color="auto"/>
            <w:left w:val="none" w:sz="0" w:space="0" w:color="auto"/>
            <w:bottom w:val="none" w:sz="0" w:space="0" w:color="auto"/>
            <w:right w:val="none" w:sz="0" w:space="0" w:color="auto"/>
          </w:divBdr>
        </w:div>
        <w:div w:id="53743208">
          <w:marLeft w:val="0"/>
          <w:marRight w:val="0"/>
          <w:marTop w:val="0"/>
          <w:marBottom w:val="0"/>
          <w:divBdr>
            <w:top w:val="none" w:sz="0" w:space="0" w:color="auto"/>
            <w:left w:val="none" w:sz="0" w:space="0" w:color="auto"/>
            <w:bottom w:val="none" w:sz="0" w:space="0" w:color="auto"/>
            <w:right w:val="none" w:sz="0" w:space="0" w:color="auto"/>
          </w:divBdr>
        </w:div>
        <w:div w:id="853493385">
          <w:marLeft w:val="0"/>
          <w:marRight w:val="0"/>
          <w:marTop w:val="0"/>
          <w:marBottom w:val="0"/>
          <w:divBdr>
            <w:top w:val="none" w:sz="0" w:space="0" w:color="auto"/>
            <w:left w:val="none" w:sz="0" w:space="0" w:color="auto"/>
            <w:bottom w:val="none" w:sz="0" w:space="0" w:color="auto"/>
            <w:right w:val="none" w:sz="0" w:space="0" w:color="auto"/>
          </w:divBdr>
        </w:div>
        <w:div w:id="380448530">
          <w:marLeft w:val="0"/>
          <w:marRight w:val="0"/>
          <w:marTop w:val="0"/>
          <w:marBottom w:val="0"/>
          <w:divBdr>
            <w:top w:val="none" w:sz="0" w:space="0" w:color="auto"/>
            <w:left w:val="none" w:sz="0" w:space="0" w:color="auto"/>
            <w:bottom w:val="none" w:sz="0" w:space="0" w:color="auto"/>
            <w:right w:val="none" w:sz="0" w:space="0" w:color="auto"/>
          </w:divBdr>
        </w:div>
        <w:div w:id="1616323008">
          <w:marLeft w:val="0"/>
          <w:marRight w:val="0"/>
          <w:marTop w:val="0"/>
          <w:marBottom w:val="0"/>
          <w:divBdr>
            <w:top w:val="none" w:sz="0" w:space="0" w:color="auto"/>
            <w:left w:val="none" w:sz="0" w:space="0" w:color="auto"/>
            <w:bottom w:val="none" w:sz="0" w:space="0" w:color="auto"/>
            <w:right w:val="none" w:sz="0" w:space="0" w:color="auto"/>
          </w:divBdr>
        </w:div>
        <w:div w:id="1584992959">
          <w:marLeft w:val="0"/>
          <w:marRight w:val="0"/>
          <w:marTop w:val="0"/>
          <w:marBottom w:val="0"/>
          <w:divBdr>
            <w:top w:val="none" w:sz="0" w:space="0" w:color="auto"/>
            <w:left w:val="none" w:sz="0" w:space="0" w:color="auto"/>
            <w:bottom w:val="none" w:sz="0" w:space="0" w:color="auto"/>
            <w:right w:val="none" w:sz="0" w:space="0" w:color="auto"/>
          </w:divBdr>
        </w:div>
        <w:div w:id="886836242">
          <w:marLeft w:val="0"/>
          <w:marRight w:val="0"/>
          <w:marTop w:val="0"/>
          <w:marBottom w:val="0"/>
          <w:divBdr>
            <w:top w:val="none" w:sz="0" w:space="0" w:color="auto"/>
            <w:left w:val="none" w:sz="0" w:space="0" w:color="auto"/>
            <w:bottom w:val="none" w:sz="0" w:space="0" w:color="auto"/>
            <w:right w:val="none" w:sz="0" w:space="0" w:color="auto"/>
          </w:divBdr>
        </w:div>
        <w:div w:id="493760684">
          <w:marLeft w:val="0"/>
          <w:marRight w:val="0"/>
          <w:marTop w:val="0"/>
          <w:marBottom w:val="0"/>
          <w:divBdr>
            <w:top w:val="none" w:sz="0" w:space="0" w:color="auto"/>
            <w:left w:val="none" w:sz="0" w:space="0" w:color="auto"/>
            <w:bottom w:val="none" w:sz="0" w:space="0" w:color="auto"/>
            <w:right w:val="none" w:sz="0" w:space="0" w:color="auto"/>
          </w:divBdr>
        </w:div>
        <w:div w:id="973222013">
          <w:marLeft w:val="0"/>
          <w:marRight w:val="0"/>
          <w:marTop w:val="0"/>
          <w:marBottom w:val="0"/>
          <w:divBdr>
            <w:top w:val="none" w:sz="0" w:space="0" w:color="auto"/>
            <w:left w:val="none" w:sz="0" w:space="0" w:color="auto"/>
            <w:bottom w:val="none" w:sz="0" w:space="0" w:color="auto"/>
            <w:right w:val="none" w:sz="0" w:space="0" w:color="auto"/>
          </w:divBdr>
        </w:div>
        <w:div w:id="1227913911">
          <w:marLeft w:val="0"/>
          <w:marRight w:val="0"/>
          <w:marTop w:val="0"/>
          <w:marBottom w:val="0"/>
          <w:divBdr>
            <w:top w:val="none" w:sz="0" w:space="0" w:color="auto"/>
            <w:left w:val="none" w:sz="0" w:space="0" w:color="auto"/>
            <w:bottom w:val="none" w:sz="0" w:space="0" w:color="auto"/>
            <w:right w:val="none" w:sz="0" w:space="0" w:color="auto"/>
          </w:divBdr>
        </w:div>
        <w:div w:id="1510634844">
          <w:marLeft w:val="0"/>
          <w:marRight w:val="0"/>
          <w:marTop w:val="0"/>
          <w:marBottom w:val="0"/>
          <w:divBdr>
            <w:top w:val="none" w:sz="0" w:space="0" w:color="auto"/>
            <w:left w:val="none" w:sz="0" w:space="0" w:color="auto"/>
            <w:bottom w:val="none" w:sz="0" w:space="0" w:color="auto"/>
            <w:right w:val="none" w:sz="0" w:space="0" w:color="auto"/>
          </w:divBdr>
        </w:div>
        <w:div w:id="1801269046">
          <w:marLeft w:val="0"/>
          <w:marRight w:val="0"/>
          <w:marTop w:val="0"/>
          <w:marBottom w:val="0"/>
          <w:divBdr>
            <w:top w:val="none" w:sz="0" w:space="0" w:color="auto"/>
            <w:left w:val="none" w:sz="0" w:space="0" w:color="auto"/>
            <w:bottom w:val="none" w:sz="0" w:space="0" w:color="auto"/>
            <w:right w:val="none" w:sz="0" w:space="0" w:color="auto"/>
          </w:divBdr>
        </w:div>
        <w:div w:id="889340694">
          <w:marLeft w:val="0"/>
          <w:marRight w:val="0"/>
          <w:marTop w:val="0"/>
          <w:marBottom w:val="0"/>
          <w:divBdr>
            <w:top w:val="none" w:sz="0" w:space="0" w:color="auto"/>
            <w:left w:val="none" w:sz="0" w:space="0" w:color="auto"/>
            <w:bottom w:val="none" w:sz="0" w:space="0" w:color="auto"/>
            <w:right w:val="none" w:sz="0" w:space="0" w:color="auto"/>
          </w:divBdr>
        </w:div>
        <w:div w:id="1233463049">
          <w:marLeft w:val="0"/>
          <w:marRight w:val="0"/>
          <w:marTop w:val="0"/>
          <w:marBottom w:val="0"/>
          <w:divBdr>
            <w:top w:val="none" w:sz="0" w:space="0" w:color="auto"/>
            <w:left w:val="none" w:sz="0" w:space="0" w:color="auto"/>
            <w:bottom w:val="none" w:sz="0" w:space="0" w:color="auto"/>
            <w:right w:val="none" w:sz="0" w:space="0" w:color="auto"/>
          </w:divBdr>
        </w:div>
        <w:div w:id="383136465">
          <w:marLeft w:val="0"/>
          <w:marRight w:val="0"/>
          <w:marTop w:val="0"/>
          <w:marBottom w:val="0"/>
          <w:divBdr>
            <w:top w:val="none" w:sz="0" w:space="0" w:color="auto"/>
            <w:left w:val="none" w:sz="0" w:space="0" w:color="auto"/>
            <w:bottom w:val="none" w:sz="0" w:space="0" w:color="auto"/>
            <w:right w:val="none" w:sz="0" w:space="0" w:color="auto"/>
          </w:divBdr>
        </w:div>
        <w:div w:id="458649035">
          <w:marLeft w:val="0"/>
          <w:marRight w:val="0"/>
          <w:marTop w:val="0"/>
          <w:marBottom w:val="0"/>
          <w:divBdr>
            <w:top w:val="none" w:sz="0" w:space="0" w:color="auto"/>
            <w:left w:val="none" w:sz="0" w:space="0" w:color="auto"/>
            <w:bottom w:val="none" w:sz="0" w:space="0" w:color="auto"/>
            <w:right w:val="none" w:sz="0" w:space="0" w:color="auto"/>
          </w:divBdr>
        </w:div>
        <w:div w:id="977413334">
          <w:marLeft w:val="0"/>
          <w:marRight w:val="0"/>
          <w:marTop w:val="0"/>
          <w:marBottom w:val="0"/>
          <w:divBdr>
            <w:top w:val="none" w:sz="0" w:space="0" w:color="auto"/>
            <w:left w:val="none" w:sz="0" w:space="0" w:color="auto"/>
            <w:bottom w:val="none" w:sz="0" w:space="0" w:color="auto"/>
            <w:right w:val="none" w:sz="0" w:space="0" w:color="auto"/>
          </w:divBdr>
        </w:div>
      </w:divsChild>
    </w:div>
    <w:div w:id="967711215">
      <w:bodyDiv w:val="1"/>
      <w:marLeft w:val="0"/>
      <w:marRight w:val="0"/>
      <w:marTop w:val="0"/>
      <w:marBottom w:val="0"/>
      <w:divBdr>
        <w:top w:val="none" w:sz="0" w:space="0" w:color="auto"/>
        <w:left w:val="none" w:sz="0" w:space="0" w:color="auto"/>
        <w:bottom w:val="none" w:sz="0" w:space="0" w:color="auto"/>
        <w:right w:val="none" w:sz="0" w:space="0" w:color="auto"/>
      </w:divBdr>
    </w:div>
    <w:div w:id="136016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06A55-D051-4453-9607-69935A5D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892</Words>
  <Characters>4912</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Corre</dc:creator>
  <cp:lastModifiedBy>Sabine Giros</cp:lastModifiedBy>
  <cp:revision>2</cp:revision>
  <dcterms:created xsi:type="dcterms:W3CDTF">2017-06-22T13:33:00Z</dcterms:created>
  <dcterms:modified xsi:type="dcterms:W3CDTF">2017-06-22T13:33:00Z</dcterms:modified>
</cp:coreProperties>
</file>